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2" w:before="0" w:after="80"/>
        <w:jc w:val="center"/>
        <w:rPr/>
      </w:pPr>
      <w:r>
        <w:rPr>
          <w:rFonts w:eastAsia="Arial"/>
          <w:b/>
          <w:color w:val="004D73"/>
          <w:sz w:val="36"/>
        </w:rPr>
        <w:t>START ACADEMY</w:t>
      </w:r>
    </w:p>
    <w:p>
      <w:pPr>
        <w:pStyle w:val="Normal"/>
        <w:spacing w:lineRule="auto" w:line="252" w:before="0" w:after="80"/>
        <w:jc w:val="center"/>
        <w:rPr/>
      </w:pPr>
      <w:r>
        <w:rPr>
          <w:rFonts w:eastAsia="Arial"/>
          <w:b/>
          <w:sz w:val="28"/>
        </w:rPr>
        <w:t>ПУБЛІЧНИЙ ДОГОВІР (ОФЕРТА)</w:t>
        <w:br/>
        <w:t>про надання інформаційно-консультаційних послуг та доступу до навчальних матеріалів</w:t>
      </w:r>
    </w:p>
    <w:p>
      <w:pPr>
        <w:pStyle w:val="Normal"/>
        <w:spacing w:lineRule="auto" w:line="252" w:before="0" w:after="80"/>
        <w:jc w:val="center"/>
        <w:rPr/>
      </w:pPr>
      <w:r>
        <w:rPr>
          <w:rFonts w:eastAsia="Arial"/>
          <w:i/>
          <w:sz w:val="18"/>
        </w:rPr>
        <w:t>Редакція від 2</w:t>
      </w:r>
      <w:r>
        <w:rPr>
          <w:rFonts w:eastAsia="Arial"/>
          <w:i/>
          <w:sz w:val="18"/>
          <w:lang w:val="ru-RU"/>
        </w:rPr>
        <w:t>1</w:t>
      </w:r>
      <w:r>
        <w:rPr>
          <w:rFonts w:eastAsia="Arial"/>
          <w:i/>
          <w:sz w:val="18"/>
          <w:lang w:val="ru-RU"/>
        </w:rPr>
        <w:t xml:space="preserve"> </w:t>
      </w:r>
      <w:r>
        <w:rPr>
          <w:rFonts w:eastAsia="Arial"/>
          <w:i/>
          <w:sz w:val="18"/>
          <w:lang w:val="ru-RU"/>
        </w:rPr>
        <w:t>вересня</w:t>
      </w:r>
      <w:r>
        <w:rPr>
          <w:rFonts w:eastAsia="Arial"/>
          <w:i/>
          <w:sz w:val="18"/>
          <w:lang w:val="ru-RU"/>
        </w:rPr>
        <w:t xml:space="preserve"> </w:t>
      </w:r>
      <w:r>
        <w:rPr>
          <w:rFonts w:eastAsia="Arial"/>
          <w:i/>
          <w:sz w:val="18"/>
        </w:rPr>
        <w:t>202</w:t>
      </w:r>
      <w:r>
        <w:rPr>
          <w:rFonts w:eastAsia="Arial"/>
          <w:i/>
          <w:sz w:val="18"/>
          <w:lang w:val="ru-RU"/>
        </w:rPr>
        <w:t>4</w:t>
      </w:r>
      <w:r>
        <w:rPr>
          <w:rFonts w:eastAsia="Arial"/>
          <w:i/>
          <w:sz w:val="18"/>
        </w:rPr>
        <w:t xml:space="preserve"> р.</w:t>
      </w:r>
    </w:p>
    <w:p>
      <w:pPr>
        <w:pStyle w:val="Normal"/>
        <w:spacing w:lineRule="auto" w:line="252" w:before="0" w:after="80"/>
        <w:rPr/>
      </w:pPr>
      <w:r>
        <w:rPr>
          <w:rFonts w:eastAsia="Arial"/>
          <w:b/>
          <w:sz w:val="19"/>
        </w:rPr>
        <w:t xml:space="preserve">Важливо: </w:t>
      </w:r>
      <w:r>
        <w:rPr>
          <w:rFonts w:eastAsia="Arial"/>
          <w:sz w:val="19"/>
        </w:rPr>
        <w:t>цей Договір надсилається Користувачу у вигляді Google Docs, PDF, DOCX, посилання, повідомлення в месенджері або іншим електронним способом до здійснення оплати. Оплата повної вартості, часткової оплати або бронювання місця означає повне прийняття умов цього Договору.</w:t>
      </w:r>
    </w:p>
    <w:p>
      <w:pPr>
        <w:pStyle w:val="1"/>
        <w:spacing w:lineRule="auto" w:line="252" w:before="480" w:after="80"/>
        <w:rPr/>
      </w:pPr>
      <w:r>
        <w:rPr>
          <w:rFonts w:eastAsia="Arial" w:ascii="Arial" w:hAnsi="Arial"/>
          <w:sz w:val="19"/>
        </w:rPr>
        <w:t>1. ЗАГАЛЬНІ ПОЛОЖЕННЯ</w:t>
      </w:r>
    </w:p>
    <w:p>
      <w:pPr>
        <w:pStyle w:val="Normal"/>
        <w:spacing w:lineRule="auto" w:line="252" w:before="0" w:after="80"/>
        <w:rPr/>
      </w:pPr>
      <w:r>
        <w:rPr>
          <w:rFonts w:eastAsia="Arial"/>
          <w:sz w:val="19"/>
        </w:rPr>
        <w:t>1.1. Цей публічний договір (далі — «Договір», «Оферта») є пропозицією ФОП Марченко Іван Володимирович, РНОКПП 3661604718, що діє під комерційною назвою Start Academy (далі — «Виконавець»), укласти договір про надання інформаційно-консультаційних послуг із будь-якою дієздатною особою, яка прийняла умови Договору.</w:t>
      </w:r>
    </w:p>
    <w:p>
      <w:pPr>
        <w:pStyle w:val="Normal"/>
        <w:spacing w:lineRule="auto" w:line="252" w:before="0" w:after="80"/>
        <w:rPr/>
      </w:pPr>
      <w:r>
        <w:rPr>
          <w:rFonts w:eastAsia="Arial"/>
          <w:sz w:val="19"/>
        </w:rPr>
        <w:t>1.2. Договір адресований фізичним особам, які бажають придбати доступ до курсів Start Academy: «AI-спеціаліст без програмування», «Контент-мейкер», «Таргетолог» або інших навчальних продуктів Виконавця.</w:t>
      </w:r>
    </w:p>
    <w:p>
      <w:pPr>
        <w:pStyle w:val="Normal"/>
        <w:spacing w:lineRule="auto" w:line="252" w:before="0" w:after="80"/>
        <w:rPr/>
      </w:pPr>
      <w:r>
        <w:rPr>
          <w:rFonts w:eastAsia="Arial"/>
          <w:sz w:val="19"/>
        </w:rPr>
        <w:t>1.3. Оферта не обов’язково розміщується на веб-сайті. Виконавець може надсилати чинну редакцію Договору Користувачу через Google Docs, PDF, електронну пошту, месенджер, CRM, платіжне посилання або інший електронний канал комунікації.</w:t>
      </w:r>
    </w:p>
    <w:p>
      <w:pPr>
        <w:pStyle w:val="Normal"/>
        <w:spacing w:lineRule="auto" w:line="252" w:before="0" w:after="80"/>
        <w:rPr/>
      </w:pPr>
      <w:r>
        <w:rPr>
          <w:rFonts w:eastAsia="Arial"/>
          <w:sz w:val="19"/>
        </w:rPr>
        <w:t>1.4. Якщо Користувач не погоджується з умовами Договору, він не повинен здійснювати оплату, бронювання або інші дії, спрямовані на придбання Послуг.</w:t>
      </w:r>
    </w:p>
    <w:p>
      <w:pPr>
        <w:pStyle w:val="Normal"/>
        <w:spacing w:lineRule="auto" w:line="252" w:before="0" w:after="80"/>
        <w:rPr/>
      </w:pPr>
      <w:r>
        <w:rPr>
          <w:rFonts w:eastAsia="Arial"/>
          <w:sz w:val="19"/>
        </w:rPr>
        <w:t>1.5. Усі комунікації між Сторонами можуть здійснюватися електронною поштою, телефоном, месенджерами або іншими засобами дистанційного зв’язку.</w:t>
      </w:r>
    </w:p>
    <w:p>
      <w:pPr>
        <w:pStyle w:val="1"/>
        <w:spacing w:lineRule="auto" w:line="252" w:before="480" w:after="80"/>
        <w:rPr/>
      </w:pPr>
      <w:r>
        <w:rPr>
          <w:rFonts w:eastAsia="Arial" w:ascii="Arial" w:hAnsi="Arial"/>
          <w:sz w:val="19"/>
        </w:rPr>
        <w:t>2. ТЕРМІНИ ТА ВИЗНАЧЕННЯ</w:t>
      </w:r>
    </w:p>
    <w:p>
      <w:pPr>
        <w:pStyle w:val="Normal"/>
        <w:spacing w:lineRule="auto" w:line="252" w:before="0" w:after="80"/>
        <w:rPr/>
      </w:pPr>
      <w:r>
        <w:rPr>
          <w:rFonts w:eastAsia="Arial"/>
          <w:sz w:val="19"/>
        </w:rPr>
        <w:t>2.1. Акцепт — повне та безумовне прийняття Користувачем умов цього Договору шляхом здійснення повної оплати, часткової оплати, внесення бронювання або фактичного початку користування матеріалами Курсу.</w:t>
      </w:r>
    </w:p>
    <w:p>
      <w:pPr>
        <w:pStyle w:val="Normal"/>
        <w:spacing w:lineRule="auto" w:line="252" w:before="0" w:after="80"/>
        <w:rPr/>
      </w:pPr>
      <w:r>
        <w:rPr>
          <w:rFonts w:eastAsia="Arial"/>
          <w:sz w:val="19"/>
        </w:rPr>
        <w:t>2.2. Користувач — особа, яка здійснила Акцепт цього Договору та придбала Послуги для себе або на користь третьої особи.</w:t>
      </w:r>
    </w:p>
    <w:p>
      <w:pPr>
        <w:pStyle w:val="Normal"/>
        <w:spacing w:lineRule="auto" w:line="252" w:before="0" w:after="80"/>
        <w:rPr/>
      </w:pPr>
      <w:r>
        <w:rPr>
          <w:rFonts w:eastAsia="Arial"/>
          <w:sz w:val="19"/>
        </w:rPr>
        <w:t>2.3. Курс — сукупність навчальних модулів, відео, презентацій, PDF/DOCX-матеріалів, домашніх завдань, практичних кейсів, чек-листів, консультацій, доступу до спільноти або інших матеріалів за відповідною програмою.</w:t>
      </w:r>
    </w:p>
    <w:p>
      <w:pPr>
        <w:pStyle w:val="Normal"/>
        <w:spacing w:lineRule="auto" w:line="252" w:before="0" w:after="80"/>
        <w:rPr/>
      </w:pPr>
      <w:r>
        <w:rPr>
          <w:rFonts w:eastAsia="Arial"/>
          <w:sz w:val="19"/>
        </w:rPr>
        <w:t>2.4. Послуги — інформаційно-консультаційні послуги, надання доступу до навчальних матеріалів, практичних завдань, консультаційного супроводу та/або інших матеріалів Start Academy.</w:t>
      </w:r>
    </w:p>
    <w:p>
      <w:pPr>
        <w:pStyle w:val="Normal"/>
        <w:spacing w:lineRule="auto" w:line="252" w:before="0" w:after="80"/>
        <w:rPr/>
      </w:pPr>
      <w:r>
        <w:rPr>
          <w:rFonts w:eastAsia="Arial"/>
          <w:sz w:val="19"/>
        </w:rPr>
        <w:t>2.5. Програма — опис конкретного Курсу, його змісту, формату, пакету, вартості, строків, обсягу доступу та умов супроводу, який повідомляється Користувачу до оплати.</w:t>
      </w:r>
    </w:p>
    <w:p>
      <w:pPr>
        <w:pStyle w:val="Normal"/>
        <w:spacing w:lineRule="auto" w:line="252" w:before="0" w:after="80"/>
        <w:rPr/>
      </w:pPr>
      <w:r>
        <w:rPr>
          <w:rFonts w:eastAsia="Arial"/>
          <w:sz w:val="19"/>
        </w:rPr>
        <w:t>2.6. Пакет — конкретний обсяг Послуг, який обирає Користувач: Базовий, PRO, VIP або інший пакет, погоджений Сторонами.</w:t>
      </w:r>
    </w:p>
    <w:p>
      <w:pPr>
        <w:pStyle w:val="Normal"/>
        <w:spacing w:lineRule="auto" w:line="252" w:before="0" w:after="80"/>
        <w:rPr/>
      </w:pPr>
      <w:r>
        <w:rPr>
          <w:rFonts w:eastAsia="Arial"/>
          <w:sz w:val="19"/>
        </w:rPr>
        <w:t>2.7. Бронювання — часткова оплата, яка фіксує місце Користувача, вартість обраного пакету та намір пройти навчання.</w:t>
      </w:r>
    </w:p>
    <w:p>
      <w:pPr>
        <w:pStyle w:val="1"/>
        <w:spacing w:lineRule="auto" w:line="252" w:before="480" w:after="80"/>
        <w:rPr/>
      </w:pPr>
      <w:r>
        <w:rPr>
          <w:rFonts w:eastAsia="Arial" w:ascii="Arial" w:hAnsi="Arial"/>
          <w:sz w:val="19"/>
        </w:rPr>
        <w:t>3. ПРЕДМЕТ ДОГОВОРУ</w:t>
      </w:r>
    </w:p>
    <w:p>
      <w:pPr>
        <w:pStyle w:val="Normal"/>
        <w:spacing w:lineRule="auto" w:line="252" w:before="0" w:after="80"/>
        <w:rPr/>
      </w:pPr>
      <w:r>
        <w:rPr>
          <w:rFonts w:eastAsia="Arial"/>
          <w:sz w:val="19"/>
        </w:rPr>
        <w:t>3.1. Виконавець зобов’язується надати Користувачу Послуги відповідно до обраної Програми та Пакету, а Користувач зобов’язується оплатити Послуги та дотримуватися умов цього Договору.</w:t>
      </w:r>
    </w:p>
    <w:p>
      <w:pPr>
        <w:pStyle w:val="Normal"/>
        <w:spacing w:lineRule="auto" w:line="252" w:before="0" w:after="80"/>
        <w:rPr/>
      </w:pPr>
      <w:r>
        <w:rPr>
          <w:rFonts w:eastAsia="Arial"/>
          <w:sz w:val="19"/>
        </w:rPr>
        <w:t>3.2. Послуги можуть надаватися дистанційно у форматі доступу до матеріалів, презентацій, уроків, домашніх завдань, письмових інструкцій, консультацій, розборів, чат-супроводу або інших форматів, визначених Виконавцем.</w:t>
      </w:r>
    </w:p>
    <w:p>
      <w:pPr>
        <w:pStyle w:val="Normal"/>
        <w:spacing w:lineRule="auto" w:line="252" w:before="0" w:after="80"/>
        <w:rPr/>
      </w:pPr>
      <w:r>
        <w:rPr>
          <w:rFonts w:eastAsia="Arial"/>
          <w:sz w:val="19"/>
        </w:rPr>
        <w:t>3.3. Послуги Start Academy спрямовані на формування практичного уявлення та навичок у сферах AI без програмування, контент-мейкерства, таргетованої реклами, digital-послуг та суміжних напрямів.</w:t>
      </w:r>
    </w:p>
    <w:p>
      <w:pPr>
        <w:pStyle w:val="Normal"/>
        <w:spacing w:lineRule="auto" w:line="252" w:before="0" w:after="80"/>
        <w:rPr/>
      </w:pPr>
      <w:r>
        <w:rPr>
          <w:rFonts w:eastAsia="Arial"/>
          <w:sz w:val="19"/>
        </w:rPr>
        <w:t>3.4. Послуги не є формальною освітньою діяльністю з видачею документа про освіту державного зразка. Сертифікат Start Academy, якщо він передбачений Програмою, підтверджує факт проходження Курсу та/або виконання практичних завдань, але не є документом державного зразка та не гарантує присвоєння офіційної кваліфікації.</w:t>
      </w:r>
    </w:p>
    <w:p>
      <w:pPr>
        <w:pStyle w:val="Normal"/>
        <w:spacing w:lineRule="auto" w:line="252" w:before="0" w:after="80"/>
        <w:rPr/>
      </w:pPr>
      <w:r>
        <w:rPr>
          <w:rFonts w:eastAsia="Arial"/>
          <w:sz w:val="19"/>
        </w:rPr>
        <w:t>3.5. Виконавець не гарантує Користувачу конкретний дохід, працевлаштування, кількість клієнтів, фінансовий результат, окупність Курсу або інший комерційний результат, оскільки він залежить від дій Користувача, рівня виконання завдань, комунікації з клієнтами, ринку, часу, досвіду та інших факторів.</w:t>
      </w:r>
    </w:p>
    <w:p>
      <w:pPr>
        <w:pStyle w:val="1"/>
        <w:spacing w:lineRule="auto" w:line="252" w:before="480" w:after="80"/>
        <w:rPr/>
      </w:pPr>
      <w:r>
        <w:rPr>
          <w:rFonts w:eastAsia="Arial" w:ascii="Arial" w:hAnsi="Arial"/>
          <w:sz w:val="19"/>
        </w:rPr>
        <w:t>4. ПРОГРАМИ, ПАКЕТИ ТА ВАРТІСТЬ</w:t>
      </w:r>
    </w:p>
    <w:p>
      <w:pPr>
        <w:pStyle w:val="Normal"/>
        <w:spacing w:lineRule="auto" w:line="252" w:before="0" w:after="80"/>
        <w:rPr/>
      </w:pPr>
      <w:r>
        <w:rPr>
          <w:rFonts w:eastAsia="Arial"/>
          <w:sz w:val="19"/>
        </w:rPr>
        <w:t>4.1. Start Academy може надавати Послуги за такими напрямами: AI-спеціаліст без програмування, Контент-мейкер, Таргетолог, а також за іншими напрямами, які Виконавець може запропонувати Користувачу.</w:t>
      </w:r>
    </w:p>
    <w:p>
      <w:pPr>
        <w:pStyle w:val="Normal"/>
        <w:spacing w:lineRule="auto" w:line="252" w:before="0" w:after="80"/>
        <w:rPr/>
      </w:pPr>
      <w:r>
        <w:rPr>
          <w:rFonts w:eastAsia="Arial"/>
          <w:sz w:val="19"/>
        </w:rPr>
        <w:t>4.2. Базові пакети та вартість, якщо інше не погоджено Сторонами індивідуально:</w:t>
      </w:r>
    </w:p>
    <w:tbl>
      <w:tblPr>
        <w:tblStyle w:val="TableGrid"/>
        <w:tblW w:w="1020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550"/>
        <w:gridCol w:w="2550"/>
        <w:gridCol w:w="2550"/>
        <w:gridCol w:w="2549"/>
      </w:tblGrid>
      <w:tr>
        <w:trPr/>
        <w:tc>
          <w:tcPr>
            <w:tcW w:w="2550" w:type="dxa"/>
            <w:tcBorders/>
            <w:shd w:fill="D9EAF7"/>
          </w:tcPr>
          <w:p>
            <w:pPr>
              <w:pStyle w:val="Normal"/>
              <w:widowControl/>
              <w:spacing w:before="0" w:after="80"/>
              <w:jc w:val="left"/>
              <w:rPr>
                <w:rFonts w:cs=""/>
                <w:kern w:val="0"/>
                <w:szCs w:val="22"/>
                <w:lang w:val="en-US" w:eastAsia="en-US" w:bidi="ar-SA"/>
              </w:rPr>
            </w:pPr>
            <w:r>
              <w:rPr>
                <w:rFonts w:eastAsia="Arial" w:cs=""/>
                <w:b/>
                <w:kern w:val="0"/>
                <w:sz w:val="17"/>
                <w:szCs w:val="22"/>
                <w:lang w:val="en-US" w:eastAsia="en-US" w:bidi="ar-SA"/>
              </w:rPr>
              <w:t>Пакет</w:t>
            </w:r>
          </w:p>
        </w:tc>
        <w:tc>
          <w:tcPr>
            <w:tcW w:w="2550" w:type="dxa"/>
            <w:tcBorders/>
            <w:shd w:fill="D9EAF7"/>
          </w:tcPr>
          <w:p>
            <w:pPr>
              <w:pStyle w:val="Normal"/>
              <w:widowControl/>
              <w:spacing w:before="0" w:after="80"/>
              <w:jc w:val="left"/>
              <w:rPr>
                <w:rFonts w:cs=""/>
                <w:kern w:val="0"/>
                <w:szCs w:val="22"/>
                <w:lang w:val="en-US" w:eastAsia="en-US" w:bidi="ar-SA"/>
              </w:rPr>
            </w:pPr>
            <w:r>
              <w:rPr>
                <w:rFonts w:eastAsia="Arial" w:cs=""/>
                <w:b/>
                <w:kern w:val="0"/>
                <w:sz w:val="17"/>
                <w:szCs w:val="22"/>
                <w:lang w:val="en-US" w:eastAsia="en-US" w:bidi="ar-SA"/>
              </w:rPr>
              <w:t>Вартість</w:t>
            </w:r>
          </w:p>
        </w:tc>
        <w:tc>
          <w:tcPr>
            <w:tcW w:w="2550" w:type="dxa"/>
            <w:tcBorders/>
            <w:shd w:fill="D9EAF7"/>
          </w:tcPr>
          <w:p>
            <w:pPr>
              <w:pStyle w:val="Normal"/>
              <w:widowControl/>
              <w:spacing w:before="0" w:after="80"/>
              <w:jc w:val="left"/>
              <w:rPr>
                <w:rFonts w:cs=""/>
                <w:kern w:val="0"/>
                <w:szCs w:val="22"/>
                <w:lang w:val="en-US" w:eastAsia="en-US" w:bidi="ar-SA"/>
              </w:rPr>
            </w:pPr>
            <w:r>
              <w:rPr>
                <w:rFonts w:eastAsia="Arial" w:cs=""/>
                <w:b/>
                <w:kern w:val="0"/>
                <w:sz w:val="17"/>
                <w:szCs w:val="22"/>
                <w:lang w:val="en-US" w:eastAsia="en-US" w:bidi="ar-SA"/>
              </w:rPr>
              <w:t>Що входить</w:t>
            </w:r>
          </w:p>
        </w:tc>
        <w:tc>
          <w:tcPr>
            <w:tcW w:w="2549" w:type="dxa"/>
            <w:tcBorders/>
            <w:shd w:fill="D9EAF7"/>
          </w:tcPr>
          <w:p>
            <w:pPr>
              <w:pStyle w:val="Normal"/>
              <w:widowControl/>
              <w:spacing w:before="0" w:after="80"/>
              <w:jc w:val="left"/>
              <w:rPr>
                <w:rFonts w:cs=""/>
                <w:kern w:val="0"/>
                <w:szCs w:val="22"/>
                <w:lang w:val="en-US" w:eastAsia="en-US" w:bidi="ar-SA"/>
              </w:rPr>
            </w:pPr>
            <w:r>
              <w:rPr>
                <w:rFonts w:eastAsia="Arial" w:cs=""/>
                <w:b/>
                <w:kern w:val="0"/>
                <w:sz w:val="17"/>
                <w:szCs w:val="22"/>
                <w:lang w:val="en-US" w:eastAsia="en-US" w:bidi="ar-SA"/>
              </w:rPr>
              <w:t>Кому підходить</w:t>
            </w:r>
          </w:p>
        </w:tc>
      </w:tr>
      <w:tr>
        <w:trPr/>
        <w:tc>
          <w:tcPr>
            <w:tcW w:w="2550" w:type="dxa"/>
            <w:tcBorders/>
          </w:tcPr>
          <w:p>
            <w:pPr>
              <w:pStyle w:val="Normal"/>
              <w:widowControl/>
              <w:spacing w:before="0" w:after="80"/>
              <w:jc w:val="left"/>
              <w:rPr>
                <w:rFonts w:cs=""/>
                <w:kern w:val="0"/>
                <w:szCs w:val="22"/>
                <w:lang w:val="en-US" w:eastAsia="en-US" w:bidi="ar-SA"/>
              </w:rPr>
            </w:pPr>
            <w:r>
              <w:rPr>
                <w:rFonts w:eastAsia="Arial" w:cs=""/>
                <w:b/>
                <w:kern w:val="0"/>
                <w:sz w:val="16"/>
                <w:szCs w:val="22"/>
                <w:lang w:val="en-US" w:eastAsia="en-US" w:bidi="ar-SA"/>
              </w:rPr>
              <w:t>Базовий</w:t>
            </w:r>
          </w:p>
        </w:tc>
        <w:tc>
          <w:tcPr>
            <w:tcW w:w="2550" w:type="dxa"/>
            <w:tcBorders/>
          </w:tcPr>
          <w:p>
            <w:pPr>
              <w:pStyle w:val="Normal"/>
              <w:widowControl/>
              <w:spacing w:before="0" w:after="80"/>
              <w:jc w:val="left"/>
              <w:rPr>
                <w:rFonts w:cs=""/>
                <w:kern w:val="0"/>
                <w:szCs w:val="22"/>
                <w:lang w:val="en-US" w:eastAsia="en-US" w:bidi="ar-SA"/>
              </w:rPr>
            </w:pPr>
            <w:r>
              <w:rPr>
                <w:rFonts w:eastAsia="Arial" w:cs=""/>
                <w:b w:val="false"/>
                <w:kern w:val="0"/>
                <w:sz w:val="16"/>
                <w:szCs w:val="22"/>
                <w:lang w:val="en-US" w:eastAsia="en-US" w:bidi="ar-SA"/>
              </w:rPr>
              <w:t>2100 грн</w:t>
            </w:r>
          </w:p>
        </w:tc>
        <w:tc>
          <w:tcPr>
            <w:tcW w:w="2550" w:type="dxa"/>
            <w:tcBorders/>
          </w:tcPr>
          <w:p>
            <w:pPr>
              <w:pStyle w:val="Normal"/>
              <w:widowControl/>
              <w:spacing w:before="0" w:after="80"/>
              <w:jc w:val="left"/>
              <w:rPr>
                <w:rFonts w:cs=""/>
                <w:kern w:val="0"/>
                <w:szCs w:val="22"/>
                <w:lang w:val="en-US" w:eastAsia="en-US" w:bidi="ar-SA"/>
              </w:rPr>
            </w:pPr>
            <w:r>
              <w:rPr>
                <w:rFonts w:eastAsia="Arial" w:cs=""/>
                <w:b w:val="false"/>
                <w:kern w:val="0"/>
                <w:sz w:val="16"/>
                <w:szCs w:val="22"/>
                <w:lang w:val="en-US" w:eastAsia="en-US" w:bidi="ar-SA"/>
              </w:rPr>
              <w:t>доступ до навчальних матеріалів, модулів, домашніх завдань, базових інструкцій, сертифікат за умовами Програми</w:t>
            </w:r>
          </w:p>
        </w:tc>
        <w:tc>
          <w:tcPr>
            <w:tcW w:w="2549" w:type="dxa"/>
            <w:tcBorders/>
          </w:tcPr>
          <w:p>
            <w:pPr>
              <w:pStyle w:val="Normal"/>
              <w:widowControl/>
              <w:spacing w:before="0" w:after="80"/>
              <w:jc w:val="left"/>
              <w:rPr>
                <w:rFonts w:cs=""/>
                <w:kern w:val="0"/>
                <w:szCs w:val="22"/>
                <w:lang w:val="en-US" w:eastAsia="en-US" w:bidi="ar-SA"/>
              </w:rPr>
            </w:pPr>
            <w:r>
              <w:rPr>
                <w:rFonts w:eastAsia="Arial" w:cs=""/>
                <w:b w:val="false"/>
                <w:kern w:val="0"/>
                <w:sz w:val="16"/>
                <w:szCs w:val="22"/>
                <w:lang w:val="en-US" w:eastAsia="en-US" w:bidi="ar-SA"/>
              </w:rPr>
              <w:t>для самостійного проходження</w:t>
            </w:r>
          </w:p>
        </w:tc>
      </w:tr>
      <w:tr>
        <w:trPr/>
        <w:tc>
          <w:tcPr>
            <w:tcW w:w="2550" w:type="dxa"/>
            <w:tcBorders/>
          </w:tcPr>
          <w:p>
            <w:pPr>
              <w:pStyle w:val="Normal"/>
              <w:widowControl/>
              <w:spacing w:before="0" w:after="80"/>
              <w:jc w:val="left"/>
              <w:rPr>
                <w:rFonts w:cs=""/>
                <w:kern w:val="0"/>
                <w:szCs w:val="22"/>
                <w:lang w:val="en-US" w:eastAsia="en-US" w:bidi="ar-SA"/>
              </w:rPr>
            </w:pPr>
            <w:r>
              <w:rPr>
                <w:rFonts w:eastAsia="Arial" w:cs=""/>
                <w:b/>
                <w:kern w:val="0"/>
                <w:sz w:val="16"/>
                <w:szCs w:val="22"/>
                <w:lang w:val="en-US" w:eastAsia="en-US" w:bidi="ar-SA"/>
              </w:rPr>
              <w:t>PRO</w:t>
            </w:r>
          </w:p>
        </w:tc>
        <w:tc>
          <w:tcPr>
            <w:tcW w:w="2550" w:type="dxa"/>
            <w:tcBorders/>
          </w:tcPr>
          <w:p>
            <w:pPr>
              <w:pStyle w:val="Normal"/>
              <w:widowControl/>
              <w:spacing w:before="0" w:after="80"/>
              <w:jc w:val="left"/>
              <w:rPr>
                <w:rFonts w:cs=""/>
                <w:kern w:val="0"/>
                <w:szCs w:val="22"/>
                <w:lang w:val="en-US" w:eastAsia="en-US" w:bidi="ar-SA"/>
              </w:rPr>
            </w:pPr>
            <w:r>
              <w:rPr>
                <w:rFonts w:eastAsia="Arial" w:cs=""/>
                <w:b w:val="false"/>
                <w:kern w:val="0"/>
                <w:sz w:val="16"/>
                <w:szCs w:val="22"/>
                <w:lang w:val="en-US" w:eastAsia="en-US" w:bidi="ar-SA"/>
              </w:rPr>
              <w:t>3200 грн</w:t>
            </w:r>
          </w:p>
        </w:tc>
        <w:tc>
          <w:tcPr>
            <w:tcW w:w="2550" w:type="dxa"/>
            <w:tcBorders/>
          </w:tcPr>
          <w:p>
            <w:pPr>
              <w:pStyle w:val="Normal"/>
              <w:widowControl/>
              <w:spacing w:before="0" w:after="80"/>
              <w:jc w:val="left"/>
              <w:rPr>
                <w:rFonts w:cs=""/>
                <w:kern w:val="0"/>
                <w:szCs w:val="22"/>
                <w:lang w:val="en-US" w:eastAsia="en-US" w:bidi="ar-SA"/>
              </w:rPr>
            </w:pPr>
            <w:r>
              <w:rPr>
                <w:rFonts w:eastAsia="Arial" w:cs=""/>
                <w:b w:val="false"/>
                <w:kern w:val="0"/>
                <w:sz w:val="16"/>
                <w:szCs w:val="22"/>
                <w:lang w:val="en-US" w:eastAsia="en-US" w:bidi="ar-SA"/>
              </w:rPr>
              <w:t>усе з Базового пакету + матеріали щодо пошуку клієнтів, портфоліо, перших повідомлень, практичні кейси</w:t>
            </w:r>
          </w:p>
        </w:tc>
        <w:tc>
          <w:tcPr>
            <w:tcW w:w="2549" w:type="dxa"/>
            <w:tcBorders/>
          </w:tcPr>
          <w:p>
            <w:pPr>
              <w:pStyle w:val="Normal"/>
              <w:widowControl/>
              <w:spacing w:before="0" w:after="80"/>
              <w:jc w:val="left"/>
              <w:rPr>
                <w:rFonts w:cs=""/>
                <w:kern w:val="0"/>
                <w:szCs w:val="22"/>
                <w:lang w:val="en-US" w:eastAsia="en-US" w:bidi="ar-SA"/>
              </w:rPr>
            </w:pPr>
            <w:r>
              <w:rPr>
                <w:rFonts w:eastAsia="Arial" w:cs=""/>
                <w:b w:val="false"/>
                <w:kern w:val="0"/>
                <w:sz w:val="16"/>
                <w:szCs w:val="22"/>
                <w:lang w:val="en-US" w:eastAsia="en-US" w:bidi="ar-SA"/>
              </w:rPr>
              <w:t>для тих, хто хоче швидше вийти на перші замовлення</w:t>
            </w:r>
          </w:p>
        </w:tc>
      </w:tr>
      <w:tr>
        <w:trPr/>
        <w:tc>
          <w:tcPr>
            <w:tcW w:w="2550" w:type="dxa"/>
            <w:tcBorders/>
          </w:tcPr>
          <w:p>
            <w:pPr>
              <w:pStyle w:val="Normal"/>
              <w:widowControl/>
              <w:spacing w:before="0" w:after="80"/>
              <w:jc w:val="left"/>
              <w:rPr>
                <w:rFonts w:cs=""/>
                <w:kern w:val="0"/>
                <w:szCs w:val="22"/>
                <w:lang w:val="en-US" w:eastAsia="en-US" w:bidi="ar-SA"/>
              </w:rPr>
            </w:pPr>
            <w:r>
              <w:rPr>
                <w:rFonts w:eastAsia="Arial" w:cs=""/>
                <w:b/>
                <w:kern w:val="0"/>
                <w:sz w:val="16"/>
                <w:szCs w:val="22"/>
                <w:lang w:val="en-US" w:eastAsia="en-US" w:bidi="ar-SA"/>
              </w:rPr>
              <w:t>VIP</w:t>
            </w:r>
          </w:p>
        </w:tc>
        <w:tc>
          <w:tcPr>
            <w:tcW w:w="2550" w:type="dxa"/>
            <w:tcBorders/>
          </w:tcPr>
          <w:p>
            <w:pPr>
              <w:pStyle w:val="Normal"/>
              <w:widowControl/>
              <w:spacing w:before="0" w:after="80"/>
              <w:jc w:val="left"/>
              <w:rPr>
                <w:rFonts w:cs=""/>
                <w:kern w:val="0"/>
                <w:szCs w:val="22"/>
                <w:lang w:val="en-US" w:eastAsia="en-US" w:bidi="ar-SA"/>
              </w:rPr>
            </w:pPr>
            <w:r>
              <w:rPr>
                <w:rFonts w:eastAsia="Arial" w:cs=""/>
                <w:b w:val="false"/>
                <w:kern w:val="0"/>
                <w:sz w:val="16"/>
                <w:szCs w:val="22"/>
                <w:lang w:val="en-US" w:eastAsia="en-US" w:bidi="ar-SA"/>
              </w:rPr>
              <w:t>4800 грн</w:t>
            </w:r>
          </w:p>
        </w:tc>
        <w:tc>
          <w:tcPr>
            <w:tcW w:w="2550" w:type="dxa"/>
            <w:tcBorders/>
          </w:tcPr>
          <w:p>
            <w:pPr>
              <w:pStyle w:val="Normal"/>
              <w:widowControl/>
              <w:spacing w:before="0" w:after="80"/>
              <w:jc w:val="left"/>
              <w:rPr>
                <w:rFonts w:cs=""/>
                <w:kern w:val="0"/>
                <w:szCs w:val="22"/>
                <w:lang w:val="en-US" w:eastAsia="en-US" w:bidi="ar-SA"/>
              </w:rPr>
            </w:pPr>
            <w:r>
              <w:rPr>
                <w:rFonts w:eastAsia="Arial" w:cs=""/>
                <w:b w:val="false"/>
                <w:kern w:val="0"/>
                <w:sz w:val="16"/>
                <w:szCs w:val="22"/>
                <w:lang w:val="en-US" w:eastAsia="en-US" w:bidi="ar-SA"/>
              </w:rPr>
              <w:t>усе з PRO + розширений супровід, перевірка/розбір робіт, допомога з кейсами та підготовкою до перших клієнтів</w:t>
            </w:r>
          </w:p>
        </w:tc>
        <w:tc>
          <w:tcPr>
            <w:tcW w:w="2549" w:type="dxa"/>
            <w:tcBorders/>
          </w:tcPr>
          <w:p>
            <w:pPr>
              <w:pStyle w:val="Normal"/>
              <w:widowControl/>
              <w:spacing w:before="0" w:after="80"/>
              <w:jc w:val="left"/>
              <w:rPr>
                <w:rFonts w:cs=""/>
                <w:kern w:val="0"/>
                <w:szCs w:val="22"/>
                <w:lang w:val="en-US" w:eastAsia="en-US" w:bidi="ar-SA"/>
              </w:rPr>
            </w:pPr>
            <w:r>
              <w:rPr>
                <w:rFonts w:eastAsia="Arial" w:cs=""/>
                <w:b w:val="false"/>
                <w:kern w:val="0"/>
                <w:sz w:val="16"/>
                <w:szCs w:val="22"/>
                <w:lang w:val="en-US" w:eastAsia="en-US" w:bidi="ar-SA"/>
              </w:rPr>
              <w:t>для тих, кому потрібна підтримка та структура</w:t>
            </w:r>
          </w:p>
        </w:tc>
      </w:tr>
    </w:tbl>
    <w:p>
      <w:pPr>
        <w:pStyle w:val="Normal"/>
        <w:spacing w:lineRule="auto" w:line="252" w:before="0" w:after="80"/>
        <w:rPr/>
      </w:pPr>
      <w:r>
        <w:rPr>
          <w:rFonts w:eastAsia="Arial"/>
          <w:sz w:val="19"/>
        </w:rPr>
        <w:t>4.3. Виконавець має право проводити акції, надавати індивідуальні умови, бонуси або змінювати вартість майбутніх наборів. Вартість уже оплаченого пакету не змінюється.</w:t>
      </w:r>
    </w:p>
    <w:p>
      <w:pPr>
        <w:pStyle w:val="Normal"/>
        <w:spacing w:lineRule="auto" w:line="252" w:before="0" w:after="80"/>
        <w:rPr/>
      </w:pPr>
      <w:r>
        <w:rPr>
          <w:rFonts w:eastAsia="Arial"/>
          <w:sz w:val="19"/>
        </w:rPr>
        <w:t>4.4. Остаточний обсяг конкретного Курсу та Пакету може додатково фіксуватися в повідомленні менеджера, рахунку, інвойсі, платіжному посиланні або описі Програми, надісланому Користувачу до оплати.</w:t>
      </w:r>
    </w:p>
    <w:p>
      <w:pPr>
        <w:pStyle w:val="1"/>
        <w:spacing w:lineRule="auto" w:line="252" w:before="480" w:after="80"/>
        <w:rPr/>
      </w:pPr>
      <w:r>
        <w:rPr>
          <w:rFonts w:eastAsia="Arial" w:ascii="Arial" w:hAnsi="Arial"/>
          <w:sz w:val="19"/>
        </w:rPr>
        <w:t>5. ПОРЯДОК АКЦЕПТУ ТА УКЛАДЕННЯ ДОГОВОРУ</w:t>
      </w:r>
    </w:p>
    <w:p>
      <w:pPr>
        <w:pStyle w:val="Normal"/>
        <w:spacing w:lineRule="auto" w:line="252" w:before="0" w:after="80"/>
        <w:rPr/>
      </w:pPr>
      <w:r>
        <w:rPr>
          <w:rFonts w:eastAsia="Arial"/>
          <w:sz w:val="19"/>
        </w:rPr>
        <w:t>5.1. Перед оплатою Користувач отримує інформацію про Курс, Пакет, вартість, порядок доступу та цей Договір в електронному вигляді.</w:t>
      </w:r>
    </w:p>
    <w:p>
      <w:pPr>
        <w:pStyle w:val="Normal"/>
        <w:spacing w:lineRule="auto" w:line="252" w:before="0" w:after="80"/>
        <w:rPr/>
      </w:pPr>
      <w:r>
        <w:rPr>
          <w:rFonts w:eastAsia="Arial"/>
          <w:sz w:val="19"/>
        </w:rPr>
        <w:t>5.2. Акцептом Договору є будь-яка з таких дій Користувача: повна оплата Послуг; часткова оплата; внесення бронювання; перехід до оплати за платіжним посиланням; фактичне отримання або використання доступу до матеріалів Курсу.</w:t>
      </w:r>
    </w:p>
    <w:p>
      <w:pPr>
        <w:pStyle w:val="Normal"/>
        <w:spacing w:lineRule="auto" w:line="252" w:before="0" w:after="80"/>
        <w:rPr/>
      </w:pPr>
      <w:r>
        <w:rPr>
          <w:rFonts w:eastAsia="Arial"/>
          <w:sz w:val="19"/>
        </w:rPr>
        <w:t>5.3. З моменту Акцепту Договір вважається укладеним у письмовій формі без підписання паперового примірника.</w:t>
      </w:r>
    </w:p>
    <w:p>
      <w:pPr>
        <w:pStyle w:val="Normal"/>
        <w:spacing w:lineRule="auto" w:line="252" w:before="0" w:after="80"/>
        <w:rPr/>
      </w:pPr>
      <w:r>
        <w:rPr>
          <w:rFonts w:eastAsia="Arial"/>
          <w:sz w:val="19"/>
        </w:rPr>
        <w:t>5.4. Користувач підтверджує, що до оплати ознайомився з умовами Договору, вартістю, складом Пакету, умовами повернення коштів та обмеженнями щодо результату.</w:t>
      </w:r>
    </w:p>
    <w:p>
      <w:pPr>
        <w:pStyle w:val="1"/>
        <w:spacing w:lineRule="auto" w:line="252" w:before="480" w:after="80"/>
        <w:rPr/>
      </w:pPr>
      <w:r>
        <w:rPr>
          <w:rFonts w:eastAsia="Arial" w:ascii="Arial" w:hAnsi="Arial"/>
          <w:sz w:val="19"/>
        </w:rPr>
        <w:t>6. ПОРЯДОК НАДАННЯ ПОСЛУГ</w:t>
      </w:r>
    </w:p>
    <w:p>
      <w:pPr>
        <w:pStyle w:val="Normal"/>
        <w:spacing w:lineRule="auto" w:line="252" w:before="0" w:after="80"/>
        <w:rPr/>
      </w:pPr>
      <w:r>
        <w:rPr>
          <w:rFonts w:eastAsia="Arial"/>
          <w:sz w:val="19"/>
        </w:rPr>
        <w:t>6.1. Доступ до матеріалів Курсу надається шляхом надсилання посилань, файлів, презентацій, PDF/DOCX-матеріалів, відео, доступу до хмарного сховища, навчального чату або іншого каналу, погодженого Сторонами.</w:t>
      </w:r>
    </w:p>
    <w:p>
      <w:pPr>
        <w:pStyle w:val="Normal"/>
        <w:spacing w:lineRule="auto" w:line="252" w:before="0" w:after="80"/>
        <w:rPr/>
      </w:pPr>
      <w:r>
        <w:rPr>
          <w:rFonts w:eastAsia="Arial"/>
          <w:sz w:val="19"/>
        </w:rPr>
        <w:t>6.2. Послуга з надання доступу до матеріалів вважається наданою з моменту надсилання Користувачу доступу, посилання або файлів, незалежно від того, чи скористався Користувач доступом фактично.</w:t>
      </w:r>
    </w:p>
    <w:p>
      <w:pPr>
        <w:pStyle w:val="Normal"/>
        <w:spacing w:lineRule="auto" w:line="252" w:before="0" w:after="80"/>
        <w:rPr/>
      </w:pPr>
      <w:r>
        <w:rPr>
          <w:rFonts w:eastAsia="Arial"/>
          <w:sz w:val="19"/>
        </w:rPr>
        <w:t>6.3. Якщо Програма передбачає поступове відкриття модулів, Виконавець має право відкривати матеріали поетапно відповідно до графіка, логіки Курсу або виконання Користувачем попередніх завдань.</w:t>
      </w:r>
    </w:p>
    <w:p>
      <w:pPr>
        <w:pStyle w:val="Normal"/>
        <w:spacing w:lineRule="auto" w:line="252" w:before="0" w:after="80"/>
        <w:rPr/>
      </w:pPr>
      <w:r>
        <w:rPr>
          <w:rFonts w:eastAsia="Arial"/>
          <w:sz w:val="19"/>
        </w:rPr>
        <w:t>6.4. Користувач відповідає за правильність наданих контактних даних. Виконавець не несе відповідальності за ненадання доступу, якщо Користувач вказав неправильний email, номер телефону, Telegram або інші контакти.</w:t>
      </w:r>
    </w:p>
    <w:p>
      <w:pPr>
        <w:pStyle w:val="Normal"/>
        <w:spacing w:lineRule="auto" w:line="252" w:before="0" w:after="80"/>
        <w:rPr/>
      </w:pPr>
      <w:r>
        <w:rPr>
          <w:rFonts w:eastAsia="Arial"/>
          <w:sz w:val="19"/>
        </w:rPr>
        <w:t>6.5. Виконавець може залучати кураторів, викладачів, технічних спеціалістів, менеджерів або інших третіх осіб для надання Послуг без окремого погодження з Користувачем.</w:t>
      </w:r>
    </w:p>
    <w:p>
      <w:pPr>
        <w:pStyle w:val="1"/>
        <w:spacing w:lineRule="auto" w:line="252" w:before="480" w:after="80"/>
        <w:rPr/>
      </w:pPr>
      <w:r>
        <w:rPr>
          <w:rFonts w:eastAsia="Arial" w:ascii="Arial" w:hAnsi="Arial"/>
          <w:sz w:val="19"/>
        </w:rPr>
        <w:t>7. ОПЛАТА, БРОНЮВАННЯ ТА ДОПЛАТА</w:t>
      </w:r>
    </w:p>
    <w:p>
      <w:pPr>
        <w:pStyle w:val="Normal"/>
        <w:spacing w:lineRule="auto" w:line="252" w:before="0" w:after="80"/>
        <w:rPr/>
      </w:pPr>
      <w:r>
        <w:rPr>
          <w:rFonts w:eastAsia="Arial"/>
          <w:sz w:val="19"/>
        </w:rPr>
        <w:t>7.1. Оплата здійснюється у безготівковій формі на реквізити Виконавця, через платіжне посилання, інвойс, банківський переказ або інший спосіб, погоджений Сторонами.</w:t>
      </w:r>
    </w:p>
    <w:p>
      <w:pPr>
        <w:pStyle w:val="Normal"/>
        <w:spacing w:lineRule="auto" w:line="252" w:before="0" w:after="80"/>
        <w:rPr/>
      </w:pPr>
      <w:r>
        <w:rPr>
          <w:rFonts w:eastAsia="Arial"/>
          <w:sz w:val="19"/>
        </w:rPr>
        <w:t>7.2. Користувач може оплатити повну вартість Курсу одразу або внести бронювання у розмірі 30% від вартості обраного Пакету, якщо такий формат погоджено з менеджером Start Academy.</w:t>
      </w:r>
    </w:p>
    <w:p>
      <w:pPr>
        <w:pStyle w:val="Normal"/>
        <w:spacing w:lineRule="auto" w:line="252" w:before="0" w:after="80"/>
        <w:rPr/>
      </w:pPr>
      <w:r>
        <w:rPr>
          <w:rFonts w:eastAsia="Arial"/>
          <w:sz w:val="19"/>
        </w:rPr>
        <w:t>7.3. Бронювання фіксує за Користувачем місце, обрану вартість і намір проходити навчання. Сума бронювання зараховується в повну вартість Курсу.</w:t>
      </w:r>
    </w:p>
    <w:p>
      <w:pPr>
        <w:pStyle w:val="Normal"/>
        <w:spacing w:lineRule="auto" w:line="252" w:before="0" w:after="80"/>
        <w:rPr/>
      </w:pPr>
      <w:r>
        <w:rPr>
          <w:rFonts w:eastAsia="Arial"/>
          <w:sz w:val="19"/>
        </w:rPr>
        <w:t>7.4. Якщо Користувач вніс бронювання, залишок вартості має бути сплачений до початку навчання або в іншу дату, письмово погоджену Сторонами в месенджері, email або рахунку.</w:t>
      </w:r>
    </w:p>
    <w:p>
      <w:pPr>
        <w:pStyle w:val="Normal"/>
        <w:spacing w:lineRule="auto" w:line="252" w:before="0" w:after="80"/>
        <w:rPr/>
      </w:pPr>
      <w:r>
        <w:rPr>
          <w:rFonts w:eastAsia="Arial"/>
          <w:sz w:val="19"/>
        </w:rPr>
        <w:t>7.5. Якщо Користувач без поважної причини не вносить залишок у погоджений строк, Виконавець має право не відкривати доступ до матеріалів або перенести участь Користувача на інший потік за наявності такої можливості.</w:t>
      </w:r>
    </w:p>
    <w:p>
      <w:pPr>
        <w:pStyle w:val="Normal"/>
        <w:spacing w:lineRule="auto" w:line="252" w:before="0" w:after="80"/>
        <w:rPr/>
      </w:pPr>
      <w:r>
        <w:rPr>
          <w:rFonts w:eastAsia="Arial"/>
          <w:sz w:val="19"/>
        </w:rPr>
        <w:t>7.6. Оплата може здійснюватися як з особистого рахунку Користувача, так і третьою особою на користь Користувача. У такому випадку Користувач підтверджує, що має згоду такої особи на оплату.</w:t>
      </w:r>
    </w:p>
    <w:p>
      <w:pPr>
        <w:pStyle w:val="1"/>
        <w:spacing w:lineRule="auto" w:line="252" w:before="480" w:after="80"/>
        <w:rPr/>
      </w:pPr>
      <w:r>
        <w:rPr>
          <w:rFonts w:eastAsia="Arial" w:ascii="Arial" w:hAnsi="Arial"/>
          <w:sz w:val="19"/>
        </w:rPr>
        <w:t>8. ПОВЕРНЕННЯ КОШТІВ</w:t>
      </w:r>
    </w:p>
    <w:p>
      <w:pPr>
        <w:pStyle w:val="Normal"/>
        <w:spacing w:lineRule="auto" w:line="252" w:before="0" w:after="80"/>
        <w:rPr/>
      </w:pPr>
      <w:r>
        <w:rPr>
          <w:rFonts w:eastAsia="Arial"/>
          <w:sz w:val="19"/>
        </w:rPr>
        <w:t>8.1. Якщо Користувач оплатив Курс, але доступ до матеріалів, файлів, посилань або першого навчального блоку ще не був наданий, Користувач може звернутися із заявою про повернення коштів до моменту надання доступу.</w:t>
      </w:r>
    </w:p>
    <w:p>
      <w:pPr>
        <w:pStyle w:val="Normal"/>
        <w:spacing w:lineRule="auto" w:line="252" w:before="0" w:after="80"/>
        <w:rPr/>
      </w:pPr>
      <w:r>
        <w:rPr>
          <w:rFonts w:eastAsia="Arial"/>
          <w:sz w:val="19"/>
        </w:rPr>
        <w:t>8.2. Після надання доступу до матеріалів Курсу повністю або частково кошти не повертаються, оскільки цифрові матеріали та/або інформаційно-консультаційні послуги вже були передані Користувачу.</w:t>
      </w:r>
    </w:p>
    <w:p>
      <w:pPr>
        <w:pStyle w:val="Normal"/>
        <w:spacing w:lineRule="auto" w:line="252" w:before="0" w:after="80"/>
        <w:rPr/>
      </w:pPr>
      <w:r>
        <w:rPr>
          <w:rFonts w:eastAsia="Arial"/>
          <w:sz w:val="19"/>
        </w:rPr>
        <w:t>8.3. Сума бронювання не повертається у разі відмови Користувача від навчання, але може бути зарахована на інший потік або інший курс за рішенням Виконавця, якщо Користувач повідомив про це до старту навчання.</w:t>
      </w:r>
    </w:p>
    <w:p>
      <w:pPr>
        <w:pStyle w:val="Normal"/>
        <w:spacing w:lineRule="auto" w:line="252" w:before="0" w:after="80"/>
        <w:rPr/>
      </w:pPr>
      <w:r>
        <w:rPr>
          <w:rFonts w:eastAsia="Arial"/>
          <w:sz w:val="19"/>
        </w:rPr>
        <w:t>8.4. Якщо Курс не стартував з вини Виконавця та Виконавець не запропонував Користувачу альтернативний потік або інший рівноцінний формат, Користувач має право на повернення сплаченої суми за ненадані Послуги.</w:t>
      </w:r>
    </w:p>
    <w:p>
      <w:pPr>
        <w:pStyle w:val="Normal"/>
        <w:spacing w:lineRule="auto" w:line="252" w:before="0" w:after="80"/>
        <w:rPr/>
      </w:pPr>
      <w:r>
        <w:rPr>
          <w:rFonts w:eastAsia="Arial"/>
          <w:sz w:val="19"/>
        </w:rPr>
        <w:t>8.5. Спеціальна умова повернення після проходження Курсу застосовується лише до повністю оплачених програм Start Academy за напрямами AI-спеціаліст без програмування, Контент-мейкер або Таргетолог, якщо це було прямо повідомлено Користувачу перед оплатою.</w:t>
      </w:r>
    </w:p>
    <w:p>
      <w:pPr>
        <w:pStyle w:val="Normal"/>
        <w:spacing w:lineRule="auto" w:line="252" w:before="0" w:after="80"/>
        <w:rPr/>
      </w:pPr>
      <w:r>
        <w:rPr>
          <w:rFonts w:eastAsia="Arial"/>
          <w:sz w:val="19"/>
        </w:rPr>
        <w:t>8.6. Для розгляду повернення за спеціальною умовою Користувач повинен одночасно виконати всі умови: своєчасно виконати всі домашні та практичні завдання Курсу; пройти всі обов’язкові етапи Програми; надати підтвердження виконаних робіт; дотримуватися рекомендацій Виконавця; не порушувати умови Договору; звернутися не пізніше 14 календарних днів після завершення Курсу або іншого строку, погодженого в Програмі.</w:t>
      </w:r>
    </w:p>
    <w:p>
      <w:pPr>
        <w:pStyle w:val="Normal"/>
        <w:spacing w:lineRule="auto" w:line="252" w:before="0" w:after="80"/>
        <w:rPr/>
      </w:pPr>
      <w:r>
        <w:rPr>
          <w:rFonts w:eastAsia="Arial"/>
          <w:sz w:val="19"/>
        </w:rPr>
        <w:t>8.7. Якщо повернення пов’язане із заявою Користувача про відсутність доходу або першого клієнтського результату після Курсу, Користувач повинен додатково надати докази активних дій: портфоліо, виконані кейси, щонайменше 30 звернень до потенційних клієнтів/роботодавців або інші докази застосування знань на практиці.</w:t>
      </w:r>
    </w:p>
    <w:p>
      <w:pPr>
        <w:pStyle w:val="Normal"/>
        <w:spacing w:lineRule="auto" w:line="252" w:before="0" w:after="80"/>
        <w:rPr/>
      </w:pPr>
      <w:r>
        <w:rPr>
          <w:rFonts w:eastAsia="Arial"/>
          <w:sz w:val="19"/>
        </w:rPr>
        <w:t>8.8. Сама по собі відсутність надходжень коштів на рахунок Користувача не є достатньою підставою для повернення. Виконавець оцінює повноту виконання умов, докази активності та дотримання Користувачем Програми.</w:t>
      </w:r>
    </w:p>
    <w:p>
      <w:pPr>
        <w:pStyle w:val="Normal"/>
        <w:spacing w:lineRule="auto" w:line="252" w:before="0" w:after="80"/>
        <w:rPr/>
      </w:pPr>
      <w:r>
        <w:rPr>
          <w:rFonts w:eastAsia="Arial"/>
          <w:sz w:val="19"/>
        </w:rPr>
        <w:t>8.9. Для повернення коштів Користувач надсилає заяву на email startakademy@gmail.com із зазначенням ПІБ, контактів, дати оплати, суми, обраного Курсу, причини повернення, банківських реквізитів та підтверджуючих матеріалів. Повернення, за наявності обґрунтованих підстав, здійснюється протягом 30 робочих днів з дати отримання повного пакету інформації.</w:t>
      </w:r>
    </w:p>
    <w:p>
      <w:pPr>
        <w:pStyle w:val="1"/>
        <w:spacing w:lineRule="auto" w:line="252" w:before="480" w:after="80"/>
        <w:rPr/>
      </w:pPr>
      <w:r>
        <w:rPr>
          <w:rFonts w:eastAsia="Arial" w:ascii="Arial" w:hAnsi="Arial"/>
          <w:sz w:val="19"/>
        </w:rPr>
        <w:t>9. ПРАВА ТА ОБОВ’ЯЗКИ ВИКОНАВЦЯ</w:t>
      </w:r>
    </w:p>
    <w:p>
      <w:pPr>
        <w:pStyle w:val="Normal"/>
        <w:spacing w:lineRule="auto" w:line="252" w:before="0" w:after="80"/>
        <w:rPr/>
      </w:pPr>
      <w:r>
        <w:rPr>
          <w:rFonts w:eastAsia="Arial"/>
          <w:sz w:val="19"/>
        </w:rPr>
        <w:t>9.1. Виконавець має право самостійно визначати структуру Курсу, формат матеріалів, порядок відкриття доступу, графік занять, склад кураторів та обсяг додаткових бонусів.</w:t>
      </w:r>
    </w:p>
    <w:p>
      <w:pPr>
        <w:pStyle w:val="Normal"/>
        <w:spacing w:lineRule="auto" w:line="252" w:before="0" w:after="80"/>
        <w:rPr/>
      </w:pPr>
      <w:r>
        <w:rPr>
          <w:rFonts w:eastAsia="Arial"/>
          <w:sz w:val="19"/>
        </w:rPr>
        <w:t>9.2. Виконавець має право змінювати окремі матеріали, оновлювати уроки, додавати або замінювати інструменти, якщо це не зменшує загальну цінність обраної Програми.</w:t>
      </w:r>
    </w:p>
    <w:p>
      <w:pPr>
        <w:pStyle w:val="Normal"/>
        <w:spacing w:lineRule="auto" w:line="252" w:before="0" w:after="80"/>
        <w:rPr/>
      </w:pPr>
      <w:r>
        <w:rPr>
          <w:rFonts w:eastAsia="Arial"/>
          <w:sz w:val="19"/>
        </w:rPr>
        <w:t>9.3. Виконавець має право відмовити в доступі або припинити супровід Користувача, який порушує правила комунікації, поширює матеріали Курсу, ображає інших учасників, заважає навчанню або не виконує оплату.</w:t>
      </w:r>
    </w:p>
    <w:p>
      <w:pPr>
        <w:pStyle w:val="Normal"/>
        <w:spacing w:lineRule="auto" w:line="252" w:before="0" w:after="80"/>
        <w:rPr/>
      </w:pPr>
      <w:r>
        <w:rPr>
          <w:rFonts w:eastAsia="Arial"/>
          <w:sz w:val="19"/>
        </w:rPr>
        <w:t>9.4. Виконавець зобов’язується надати Користувачу доступ до оплачених матеріалів або Послуг в обсязі, передбаченому обраною Програмою та Пакетом.</w:t>
      </w:r>
    </w:p>
    <w:p>
      <w:pPr>
        <w:pStyle w:val="Normal"/>
        <w:spacing w:lineRule="auto" w:line="252" w:before="0" w:after="80"/>
        <w:rPr/>
      </w:pPr>
      <w:r>
        <w:rPr>
          <w:rFonts w:eastAsia="Arial"/>
          <w:sz w:val="19"/>
        </w:rPr>
        <w:t>9.5. Якщо Програма передбачає сертифікат, Виконавець надає його після виконання умов проходження Курсу, зокрема виконання необхідних практичних завдань.</w:t>
      </w:r>
    </w:p>
    <w:p>
      <w:pPr>
        <w:pStyle w:val="1"/>
        <w:spacing w:lineRule="auto" w:line="252" w:before="480" w:after="80"/>
        <w:rPr/>
      </w:pPr>
      <w:r>
        <w:rPr>
          <w:rFonts w:eastAsia="Arial" w:ascii="Arial" w:hAnsi="Arial"/>
          <w:sz w:val="19"/>
        </w:rPr>
        <w:t>10. ПРАВА ТА ОБОВ’ЯЗКИ КОРИСТУВАЧА</w:t>
      </w:r>
    </w:p>
    <w:p>
      <w:pPr>
        <w:pStyle w:val="Normal"/>
        <w:spacing w:lineRule="auto" w:line="252" w:before="0" w:after="80"/>
        <w:rPr/>
      </w:pPr>
      <w:r>
        <w:rPr>
          <w:rFonts w:eastAsia="Arial"/>
          <w:sz w:val="19"/>
        </w:rPr>
        <w:t>10.1. Користувач має право отримати Послуги відповідно до обраного Пакету та Програми.</w:t>
      </w:r>
    </w:p>
    <w:p>
      <w:pPr>
        <w:pStyle w:val="Normal"/>
        <w:spacing w:lineRule="auto" w:line="252" w:before="0" w:after="80"/>
        <w:rPr/>
      </w:pPr>
      <w:r>
        <w:rPr>
          <w:rFonts w:eastAsia="Arial"/>
          <w:sz w:val="19"/>
        </w:rPr>
        <w:t>10.2. Користувач має право ставити уточнювальні питання щодо Курсу, доступу, домашніх завдань та технічних моментів у межах передбаченого формату супроводу.</w:t>
      </w:r>
    </w:p>
    <w:p>
      <w:pPr>
        <w:pStyle w:val="Normal"/>
        <w:spacing w:lineRule="auto" w:line="252" w:before="0" w:after="80"/>
        <w:rPr/>
      </w:pPr>
      <w:r>
        <w:rPr>
          <w:rFonts w:eastAsia="Arial"/>
          <w:sz w:val="19"/>
        </w:rPr>
        <w:t>10.3. Користувач зобов’язується своєчасно оплачувати Послуги, надавати коректні контактні дані, самостійно забезпечити доступ до інтернету, пристрою та програм, необхідних для навчання.</w:t>
      </w:r>
    </w:p>
    <w:p>
      <w:pPr>
        <w:pStyle w:val="Normal"/>
        <w:spacing w:lineRule="auto" w:line="252" w:before="0" w:after="80"/>
        <w:rPr/>
      </w:pPr>
      <w:r>
        <w:rPr>
          <w:rFonts w:eastAsia="Arial"/>
          <w:sz w:val="19"/>
        </w:rPr>
        <w:t>10.4. Користувач зобов’язується виконувати домашні завдання та практичні роботи добросовісно, якщо претендує на сертифікат, спеціальні умови повернення або розширений супровід.</w:t>
      </w:r>
    </w:p>
    <w:p>
      <w:pPr>
        <w:pStyle w:val="Normal"/>
        <w:spacing w:lineRule="auto" w:line="252" w:before="0" w:after="80"/>
        <w:rPr/>
      </w:pPr>
      <w:r>
        <w:rPr>
          <w:rFonts w:eastAsia="Arial"/>
          <w:sz w:val="19"/>
        </w:rPr>
        <w:t>10.5. Користувачу заборонено передавати доступ до Курсу третім особам, копіювати, продавати, публікувати, викладати у відкритий доступ, пересилати або іншим способом поширювати матеріали Курсу без письмового дозволу Виконавця.</w:t>
      </w:r>
    </w:p>
    <w:p>
      <w:pPr>
        <w:pStyle w:val="1"/>
        <w:spacing w:lineRule="auto" w:line="252" w:before="480" w:after="80"/>
        <w:rPr/>
      </w:pPr>
      <w:r>
        <w:rPr>
          <w:rFonts w:eastAsia="Arial" w:ascii="Arial" w:hAnsi="Arial"/>
          <w:sz w:val="19"/>
        </w:rPr>
        <w:t>11. ІНТЕЛЕКТУАЛЬНА ВЛАСНІСТЬ ТА ШТРАФ ЗА ПОШИРЕННЯ МАТЕРІАЛІВ</w:t>
      </w:r>
    </w:p>
    <w:p>
      <w:pPr>
        <w:pStyle w:val="Normal"/>
        <w:spacing w:lineRule="auto" w:line="252" w:before="0" w:after="80"/>
        <w:rPr/>
      </w:pPr>
      <w:r>
        <w:rPr>
          <w:rFonts w:eastAsia="Arial"/>
          <w:sz w:val="19"/>
        </w:rPr>
        <w:t>11.1. Усі матеріали Start Academy, включно з презентаціями, відео, PDF/DOCX-файлами, домашніми завданнями, шаблонами, чек-листами, текстами, структурами уроків, методичними матеріалами та іншими об’єктами, є інтелектуальною власністю Виконавця або використовуються ним на законних підставах.</w:t>
      </w:r>
    </w:p>
    <w:p>
      <w:pPr>
        <w:pStyle w:val="Normal"/>
        <w:spacing w:lineRule="auto" w:line="252" w:before="0" w:after="80"/>
        <w:rPr/>
      </w:pPr>
      <w:r>
        <w:rPr>
          <w:rFonts w:eastAsia="Arial"/>
          <w:sz w:val="19"/>
        </w:rPr>
        <w:t>11.2. Користувач отримує персональне, невиключне, обмежене право користування матеріалами Курсу виключно для особистого навчання та виконання практичних завдань.</w:t>
      </w:r>
    </w:p>
    <w:p>
      <w:pPr>
        <w:pStyle w:val="Normal"/>
        <w:spacing w:lineRule="auto" w:line="252" w:before="0" w:after="80"/>
        <w:rPr/>
      </w:pPr>
      <w:r>
        <w:rPr>
          <w:rFonts w:eastAsia="Arial"/>
          <w:sz w:val="19"/>
        </w:rPr>
        <w:t>11.3. Будь-яке копіювання, продаж, публікація, передача доступу, завантаження в публічні канали, пересилання третім особам або використання матеріалів Start Academy для створення власного комерційного навчального продукту без письмового дозволу Виконавця заборонені.</w:t>
      </w:r>
    </w:p>
    <w:p>
      <w:pPr>
        <w:pStyle w:val="Normal"/>
        <w:spacing w:lineRule="auto" w:line="252" w:before="0" w:after="80"/>
        <w:rPr/>
      </w:pPr>
      <w:r>
        <w:rPr>
          <w:rFonts w:eastAsia="Arial"/>
          <w:sz w:val="19"/>
        </w:rPr>
        <w:t>11.4. У разі порушення пунктів 10.5, 11.1–11.3 цього Договору Користувач зобов’язаний сплатити Виконавцю штраф у розмірі 10-кратної вартості придбаного Користувачем Пакету, але не менше 30 000 грн за кожен окремий випадок порушення. Сплата штрафу не звільняє Користувача від обов’язку припинити порушення та відшкодувати додаткові збитки, якщо такі будуть доведені.</w:t>
      </w:r>
    </w:p>
    <w:p>
      <w:pPr>
        <w:pStyle w:val="Normal"/>
        <w:spacing w:lineRule="auto" w:line="252" w:before="0" w:after="80"/>
        <w:rPr/>
      </w:pPr>
      <w:r>
        <w:rPr>
          <w:rFonts w:eastAsia="Arial"/>
          <w:sz w:val="19"/>
        </w:rPr>
        <w:t>11.5. Користувач має право використовувати власні роботи, створені ним під час навчання, у своєму портфоліо, якщо такі роботи не містять закритих матеріалів Курсу, персональних даних інших осіб або конфіденційної інформації.</w:t>
      </w:r>
    </w:p>
    <w:p>
      <w:pPr>
        <w:pStyle w:val="1"/>
        <w:spacing w:lineRule="auto" w:line="252" w:before="480" w:after="80"/>
        <w:rPr/>
      </w:pPr>
      <w:r>
        <w:rPr>
          <w:rFonts w:eastAsia="Arial" w:ascii="Arial" w:hAnsi="Arial"/>
          <w:sz w:val="19"/>
        </w:rPr>
        <w:t>12. ВІДГУКИ, КЕЙСИ ТА ПЕРСОНАЛЬНІ ДАНІ</w:t>
      </w:r>
    </w:p>
    <w:p>
      <w:pPr>
        <w:pStyle w:val="Normal"/>
        <w:spacing w:lineRule="auto" w:line="252" w:before="0" w:after="80"/>
        <w:rPr/>
      </w:pPr>
      <w:r>
        <w:rPr>
          <w:rFonts w:eastAsia="Arial"/>
          <w:sz w:val="19"/>
        </w:rPr>
        <w:t>12.1. Виконавець обробляє персональні дані Користувача з метою укладення та виконання цього Договору, надання доступу, комунікації, бухгалтерського обліку, підтримки та інформування про Послуги Start Academy.</w:t>
      </w:r>
    </w:p>
    <w:p>
      <w:pPr>
        <w:pStyle w:val="Normal"/>
        <w:spacing w:lineRule="auto" w:line="252" w:before="0" w:after="80"/>
        <w:rPr/>
      </w:pPr>
      <w:r>
        <w:rPr>
          <w:rFonts w:eastAsia="Arial"/>
          <w:sz w:val="19"/>
        </w:rPr>
        <w:t>12.2. Користувач надає згоду на обробку своїх персональних даних у межах, необхідних для виконання Договору.</w:t>
      </w:r>
    </w:p>
    <w:p>
      <w:pPr>
        <w:pStyle w:val="Normal"/>
        <w:spacing w:lineRule="auto" w:line="252" w:before="0" w:after="80"/>
        <w:rPr/>
      </w:pPr>
      <w:r>
        <w:rPr>
          <w:rFonts w:eastAsia="Arial"/>
          <w:sz w:val="19"/>
        </w:rPr>
        <w:t>12.3. Виконавець може використовувати відгуки, результати робіт, скріншоти, кейси та історії Користувача в маркетингових матеріалах лише за згодою Користувача або після знеособлення персональних даних.</w:t>
      </w:r>
    </w:p>
    <w:p>
      <w:pPr>
        <w:pStyle w:val="Normal"/>
        <w:spacing w:lineRule="auto" w:line="252" w:before="0" w:after="80"/>
        <w:rPr/>
      </w:pPr>
      <w:r>
        <w:rPr>
          <w:rFonts w:eastAsia="Arial"/>
          <w:sz w:val="19"/>
        </w:rPr>
        <w:t>12.4. Якщо Користувач передає Виконавцю дані третіх осіб у межах практичних завдань, Користувач підтверджує, що має право використовувати такі дані або зобов’язується попередньо їх знеособити.</w:t>
      </w:r>
    </w:p>
    <w:p>
      <w:pPr>
        <w:pStyle w:val="1"/>
        <w:spacing w:lineRule="auto" w:line="252" w:before="480" w:after="80"/>
        <w:rPr/>
      </w:pPr>
      <w:r>
        <w:rPr>
          <w:rFonts w:eastAsia="Arial" w:ascii="Arial" w:hAnsi="Arial"/>
          <w:sz w:val="19"/>
        </w:rPr>
        <w:t>13. ВІДПОВІДАЛЬНІСТЬ ТА ОБМЕЖЕННЯ ГАРАНТІЙ</w:t>
      </w:r>
    </w:p>
    <w:p>
      <w:pPr>
        <w:pStyle w:val="Normal"/>
        <w:spacing w:lineRule="auto" w:line="252" w:before="0" w:after="80"/>
        <w:rPr/>
      </w:pPr>
      <w:r>
        <w:rPr>
          <w:rFonts w:eastAsia="Arial"/>
          <w:sz w:val="19"/>
        </w:rPr>
        <w:t>13.1. Виконавець відповідає за надання доступу до матеріалів та Послуг у межах обраної Програми та Пакету.</w:t>
      </w:r>
    </w:p>
    <w:p>
      <w:pPr>
        <w:pStyle w:val="Normal"/>
        <w:spacing w:lineRule="auto" w:line="252" w:before="0" w:after="80"/>
        <w:rPr/>
      </w:pPr>
      <w:r>
        <w:rPr>
          <w:rFonts w:eastAsia="Arial"/>
          <w:sz w:val="19"/>
        </w:rPr>
        <w:t>13.2. Виконавець не відповідає за те, як Користувач застосовує знання, інструменти, поради, шаблони або матеріали Курсу після їх отримання.</w:t>
      </w:r>
    </w:p>
    <w:p>
      <w:pPr>
        <w:pStyle w:val="Normal"/>
        <w:spacing w:lineRule="auto" w:line="252" w:before="0" w:after="80"/>
        <w:rPr/>
      </w:pPr>
      <w:r>
        <w:rPr>
          <w:rFonts w:eastAsia="Arial"/>
          <w:sz w:val="19"/>
        </w:rPr>
        <w:t>13.3. Приклади доходів, кейси, відгуки, цифри заробітку, результати студентів або демонстраційні сценарії не є гарантією аналогічного результату для Користувача.</w:t>
      </w:r>
    </w:p>
    <w:p>
      <w:pPr>
        <w:pStyle w:val="Normal"/>
        <w:spacing w:lineRule="auto" w:line="252" w:before="0" w:after="80"/>
        <w:rPr/>
      </w:pPr>
      <w:r>
        <w:rPr>
          <w:rFonts w:eastAsia="Arial"/>
          <w:sz w:val="19"/>
        </w:rPr>
        <w:t>13.4. Максимальний розмір відповідальності Виконавця за цим Договором не може перевищувати суму, фактично сплачену Користувачем за відповідний Курс протягом останніх 3 місяців.</w:t>
      </w:r>
    </w:p>
    <w:p>
      <w:pPr>
        <w:pStyle w:val="Normal"/>
        <w:spacing w:lineRule="auto" w:line="252" w:before="0" w:after="80"/>
        <w:rPr/>
      </w:pPr>
      <w:r>
        <w:rPr>
          <w:rFonts w:eastAsia="Arial"/>
          <w:sz w:val="19"/>
        </w:rPr>
        <w:t>13.5. Користувач розуміє, що Курси Start Academy є практичними інформаційно-консультаційними продуктами, а результат залежить від активності, дисципліни, комунікації, виконання завдань, ринку, часу та інших факторів.</w:t>
      </w:r>
    </w:p>
    <w:p>
      <w:pPr>
        <w:pStyle w:val="1"/>
        <w:spacing w:lineRule="auto" w:line="252" w:before="480" w:after="80"/>
        <w:rPr/>
      </w:pPr>
      <w:r>
        <w:rPr>
          <w:rFonts w:eastAsia="Arial" w:ascii="Arial" w:hAnsi="Arial"/>
          <w:sz w:val="19"/>
        </w:rPr>
        <w:t>14. ФОРС-МАЖОР</w:t>
      </w:r>
    </w:p>
    <w:p>
      <w:pPr>
        <w:pStyle w:val="Normal"/>
        <w:spacing w:lineRule="auto" w:line="252" w:before="0" w:after="80"/>
        <w:rPr/>
      </w:pPr>
      <w:r>
        <w:rPr>
          <w:rFonts w:eastAsia="Arial"/>
          <w:sz w:val="19"/>
        </w:rPr>
        <w:t>14.1. Сторони звільняються від відповідальності за невиконання зобов’язань, якщо воно стало наслідком обставин непереборної сили: воєнних дій, стихійних лих, перебоїв електропостачання, технічних збоїв, рішень органів влади, аварій, масових кібератак або інших обставин, які Сторони не могли передбачити чи усунути.</w:t>
      </w:r>
    </w:p>
    <w:p>
      <w:pPr>
        <w:pStyle w:val="Normal"/>
        <w:spacing w:lineRule="auto" w:line="252" w:before="0" w:after="80"/>
        <w:rPr/>
      </w:pPr>
      <w:r>
        <w:rPr>
          <w:rFonts w:eastAsia="Arial"/>
          <w:sz w:val="19"/>
        </w:rPr>
        <w:t>14.2. Якщо форс-мажор триває понад 60 календарних днів і істотно унеможливлює виконання Договору, Сторони можуть домовитися про перенесення навчання, зміну формату або припинення Договору щодо ненаданих Послуг.</w:t>
      </w:r>
    </w:p>
    <w:p>
      <w:pPr>
        <w:pStyle w:val="1"/>
        <w:spacing w:lineRule="auto" w:line="252" w:before="480" w:after="80"/>
        <w:rPr/>
      </w:pPr>
      <w:r>
        <w:rPr>
          <w:rFonts w:eastAsia="Arial" w:ascii="Arial" w:hAnsi="Arial"/>
          <w:sz w:val="19"/>
        </w:rPr>
        <w:t>15. ВИРІШЕННЯ СПОРІВ</w:t>
      </w:r>
    </w:p>
    <w:p>
      <w:pPr>
        <w:pStyle w:val="Normal"/>
        <w:spacing w:lineRule="auto" w:line="252" w:before="0" w:after="80"/>
        <w:rPr/>
      </w:pPr>
      <w:r>
        <w:rPr>
          <w:rFonts w:eastAsia="Arial"/>
          <w:sz w:val="19"/>
        </w:rPr>
        <w:t>15.1. Усі спори Сторони намагаються вирішити шляхом переговорів та письмових звернень.</w:t>
      </w:r>
    </w:p>
    <w:p>
      <w:pPr>
        <w:pStyle w:val="Normal"/>
        <w:spacing w:lineRule="auto" w:line="252" w:before="0" w:after="80"/>
        <w:rPr/>
      </w:pPr>
      <w:r>
        <w:rPr>
          <w:rFonts w:eastAsia="Arial"/>
          <w:sz w:val="19"/>
        </w:rPr>
        <w:t>15.2. Претензія надсилається на email Виконавця startakademy@gmail.com або інший погоджений канал комунікації. Строк розгляду претензії — до 30 календарних днів.</w:t>
      </w:r>
    </w:p>
    <w:p>
      <w:pPr>
        <w:pStyle w:val="Normal"/>
        <w:spacing w:lineRule="auto" w:line="252" w:before="0" w:after="80"/>
        <w:rPr/>
      </w:pPr>
      <w:r>
        <w:rPr>
          <w:rFonts w:eastAsia="Arial"/>
          <w:sz w:val="19"/>
        </w:rPr>
        <w:t>15.3. Якщо спір не вдалося вирішити шляхом переговорів, він підлягає розгляду відповідним судом згідно із законодавством України.</w:t>
      </w:r>
    </w:p>
    <w:p>
      <w:pPr>
        <w:pStyle w:val="1"/>
        <w:spacing w:lineRule="auto" w:line="252" w:before="480" w:after="80"/>
        <w:rPr/>
      </w:pPr>
      <w:r>
        <w:rPr>
          <w:rFonts w:eastAsia="Arial" w:ascii="Arial" w:hAnsi="Arial"/>
          <w:sz w:val="19"/>
        </w:rPr>
        <w:t>16. ЗАКЛЮЧНІ ПОЛОЖЕННЯ</w:t>
      </w:r>
    </w:p>
    <w:p>
      <w:pPr>
        <w:pStyle w:val="Normal"/>
        <w:spacing w:lineRule="auto" w:line="252" w:before="0" w:after="80"/>
        <w:rPr/>
      </w:pPr>
      <w:r>
        <w:rPr>
          <w:rFonts w:eastAsia="Arial"/>
          <w:sz w:val="19"/>
        </w:rPr>
        <w:t>16.1. Договір набирає чинності з моменту Акцепту та діє до повного виконання Сторонами своїх зобов’язань.</w:t>
      </w:r>
    </w:p>
    <w:p>
      <w:pPr>
        <w:pStyle w:val="Normal"/>
        <w:spacing w:lineRule="auto" w:line="252" w:before="0" w:after="80"/>
        <w:rPr/>
      </w:pPr>
      <w:r>
        <w:rPr>
          <w:rFonts w:eastAsia="Arial"/>
          <w:sz w:val="19"/>
        </w:rPr>
        <w:t>16.2. Виконавець має право змінювати редакцію Договору для майбутніх продажів. Для Користувача застосовується редакція, яка була надана йому до оплати, якщо інше прямо не погоджено Сторонами.</w:t>
      </w:r>
    </w:p>
    <w:p>
      <w:pPr>
        <w:pStyle w:val="Normal"/>
        <w:spacing w:lineRule="auto" w:line="252" w:before="0" w:after="80"/>
        <w:rPr/>
      </w:pPr>
      <w:r>
        <w:rPr>
          <w:rFonts w:eastAsia="Arial"/>
          <w:sz w:val="19"/>
        </w:rPr>
        <w:t>16.3. Якщо окреме положення Договору буде визнане недійсним, це не впливає на дійсність інших положень.</w:t>
      </w:r>
    </w:p>
    <w:p>
      <w:pPr>
        <w:pStyle w:val="Normal"/>
        <w:spacing w:lineRule="auto" w:line="252" w:before="0" w:after="80"/>
        <w:rPr/>
      </w:pPr>
      <w:r>
        <w:rPr>
          <w:rFonts w:eastAsia="Arial"/>
          <w:sz w:val="19"/>
        </w:rPr>
        <w:t>16.4. У всіх питаннях, не врегульованих цим Договором, Сторони керуються чинним законодавством України.</w:t>
      </w:r>
    </w:p>
    <w:p>
      <w:pPr>
        <w:pStyle w:val="1"/>
        <w:spacing w:lineRule="auto" w:line="252" w:before="480" w:after="80"/>
        <w:rPr/>
      </w:pPr>
      <w:r>
        <w:rPr>
          <w:rFonts w:eastAsia="Arial" w:ascii="Arial" w:hAnsi="Arial"/>
          <w:sz w:val="19"/>
        </w:rPr>
        <w:t>17. РЕКВІЗИТИ ВИКОНАВЦЯ</w:t>
      </w:r>
    </w:p>
    <w:tbl>
      <w:tblPr>
        <w:tblStyle w:val="TableGrid"/>
        <w:tblW w:w="1020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100"/>
        <w:gridCol w:w="5099"/>
      </w:tblGrid>
      <w:tr>
        <w:trPr/>
        <w:tc>
          <w:tcPr>
            <w:tcW w:w="5100" w:type="dxa"/>
            <w:tcBorders/>
            <w:shd w:fill="EEF6FB"/>
          </w:tcPr>
          <w:p>
            <w:pPr>
              <w:pStyle w:val="Normal"/>
              <w:widowControl/>
              <w:spacing w:before="0" w:after="80"/>
              <w:jc w:val="left"/>
              <w:rPr>
                <w:rFonts w:cs=""/>
                <w:kern w:val="0"/>
                <w:szCs w:val="22"/>
                <w:lang w:val="en-US" w:eastAsia="en-US" w:bidi="ar-SA"/>
              </w:rPr>
            </w:pPr>
            <w:r>
              <w:rPr>
                <w:rFonts w:eastAsia="Arial" w:cs=""/>
                <w:b/>
                <w:kern w:val="0"/>
                <w:sz w:val="17"/>
                <w:szCs w:val="22"/>
                <w:lang w:val="en-US" w:eastAsia="en-US" w:bidi="ar-SA"/>
              </w:rPr>
              <w:t>Виконавець</w:t>
            </w:r>
          </w:p>
        </w:tc>
        <w:tc>
          <w:tcPr>
            <w:tcW w:w="5099" w:type="dxa"/>
            <w:tcBorders/>
          </w:tcPr>
          <w:p>
            <w:pPr>
              <w:pStyle w:val="Normal"/>
              <w:widowControl/>
              <w:spacing w:before="0" w:after="80"/>
              <w:jc w:val="left"/>
              <w:rPr>
                <w:rFonts w:cs=""/>
                <w:kern w:val="0"/>
                <w:szCs w:val="22"/>
                <w:lang w:val="en-US" w:eastAsia="en-US" w:bidi="ar-SA"/>
              </w:rPr>
            </w:pPr>
            <w:r>
              <w:rPr>
                <w:rFonts w:eastAsia="Arial" w:cs=""/>
                <w:b w:val="false"/>
                <w:kern w:val="0"/>
                <w:sz w:val="17"/>
                <w:szCs w:val="22"/>
                <w:lang w:val="en-US" w:eastAsia="en-US" w:bidi="ar-SA"/>
              </w:rPr>
              <w:t>Фізична особа-підприємець Марченко Іван Володимирович</w:t>
            </w:r>
          </w:p>
        </w:tc>
      </w:tr>
      <w:tr>
        <w:trPr/>
        <w:tc>
          <w:tcPr>
            <w:tcW w:w="5100" w:type="dxa"/>
            <w:tcBorders/>
            <w:shd w:fill="EEF6FB"/>
          </w:tcPr>
          <w:p>
            <w:pPr>
              <w:pStyle w:val="Normal"/>
              <w:widowControl/>
              <w:spacing w:before="0" w:after="80"/>
              <w:jc w:val="left"/>
              <w:rPr>
                <w:rFonts w:cs=""/>
                <w:kern w:val="0"/>
                <w:szCs w:val="22"/>
                <w:lang w:val="en-US" w:eastAsia="en-US" w:bidi="ar-SA"/>
              </w:rPr>
            </w:pPr>
            <w:r>
              <w:rPr>
                <w:rFonts w:eastAsia="Arial" w:cs=""/>
                <w:b/>
                <w:kern w:val="0"/>
                <w:sz w:val="17"/>
                <w:szCs w:val="22"/>
                <w:lang w:val="en-US" w:eastAsia="en-US" w:bidi="ar-SA"/>
              </w:rPr>
              <w:t>РНОКПП</w:t>
            </w:r>
          </w:p>
        </w:tc>
        <w:tc>
          <w:tcPr>
            <w:tcW w:w="5099" w:type="dxa"/>
            <w:tcBorders/>
          </w:tcPr>
          <w:p>
            <w:pPr>
              <w:pStyle w:val="Normal"/>
              <w:widowControl/>
              <w:spacing w:before="0" w:after="80"/>
              <w:jc w:val="left"/>
              <w:rPr>
                <w:rFonts w:cs=""/>
                <w:kern w:val="0"/>
                <w:szCs w:val="22"/>
                <w:lang w:val="en-US" w:eastAsia="en-US" w:bidi="ar-SA"/>
              </w:rPr>
            </w:pPr>
            <w:r>
              <w:rPr>
                <w:rFonts w:eastAsia="Arial" w:cs=""/>
                <w:b w:val="false"/>
                <w:kern w:val="0"/>
                <w:sz w:val="17"/>
                <w:szCs w:val="22"/>
                <w:lang w:val="en-US" w:eastAsia="en-US" w:bidi="ar-SA"/>
              </w:rPr>
              <w:t>3661604718</w:t>
            </w:r>
          </w:p>
        </w:tc>
      </w:tr>
      <w:tr>
        <w:trPr/>
        <w:tc>
          <w:tcPr>
            <w:tcW w:w="5100" w:type="dxa"/>
            <w:tcBorders/>
            <w:shd w:fill="EEF6FB"/>
          </w:tcPr>
          <w:p>
            <w:pPr>
              <w:pStyle w:val="Normal"/>
              <w:widowControl/>
              <w:spacing w:before="0" w:after="80"/>
              <w:jc w:val="left"/>
              <w:rPr>
                <w:rFonts w:cs=""/>
                <w:kern w:val="0"/>
                <w:szCs w:val="22"/>
                <w:lang w:val="en-US" w:eastAsia="en-US" w:bidi="ar-SA"/>
              </w:rPr>
            </w:pPr>
            <w:r>
              <w:rPr>
                <w:rFonts w:eastAsia="Arial" w:cs=""/>
                <w:b/>
                <w:kern w:val="0"/>
                <w:sz w:val="17"/>
                <w:szCs w:val="22"/>
                <w:lang w:val="en-US" w:eastAsia="en-US" w:bidi="ar-SA"/>
              </w:rPr>
              <w:t>Адреса реєстрації</w:t>
            </w:r>
          </w:p>
        </w:tc>
        <w:tc>
          <w:tcPr>
            <w:tcW w:w="5099" w:type="dxa"/>
            <w:tcBorders/>
          </w:tcPr>
          <w:p>
            <w:pPr>
              <w:pStyle w:val="Normal"/>
              <w:widowControl/>
              <w:spacing w:before="0" w:after="80"/>
              <w:jc w:val="left"/>
              <w:rPr>
                <w:rFonts w:cs=""/>
                <w:kern w:val="0"/>
                <w:szCs w:val="22"/>
                <w:lang w:val="en-US" w:eastAsia="en-US" w:bidi="ar-SA"/>
              </w:rPr>
            </w:pPr>
            <w:r>
              <w:rPr>
                <w:rFonts w:eastAsia="Arial" w:cs=""/>
                <w:b w:val="false"/>
                <w:kern w:val="0"/>
                <w:sz w:val="17"/>
                <w:szCs w:val="22"/>
                <w:lang w:val="en-US" w:eastAsia="en-US" w:bidi="ar-SA"/>
              </w:rPr>
              <w:t>м. Київ, вул. Велика Васильківська, 139, офіс 51</w:t>
            </w:r>
          </w:p>
        </w:tc>
      </w:tr>
      <w:tr>
        <w:trPr/>
        <w:tc>
          <w:tcPr>
            <w:tcW w:w="5100" w:type="dxa"/>
            <w:tcBorders/>
            <w:shd w:fill="EEF6FB"/>
          </w:tcPr>
          <w:p>
            <w:pPr>
              <w:pStyle w:val="Normal"/>
              <w:widowControl/>
              <w:spacing w:before="0" w:after="80"/>
              <w:jc w:val="left"/>
              <w:rPr>
                <w:rFonts w:cs=""/>
                <w:kern w:val="0"/>
                <w:szCs w:val="22"/>
                <w:lang w:val="en-US" w:eastAsia="en-US" w:bidi="ar-SA"/>
              </w:rPr>
            </w:pPr>
            <w:r>
              <w:rPr>
                <w:rFonts w:eastAsia="Arial" w:cs=""/>
                <w:b/>
                <w:kern w:val="0"/>
                <w:sz w:val="17"/>
                <w:szCs w:val="22"/>
                <w:lang w:val="en-US" w:eastAsia="en-US" w:bidi="ar-SA"/>
              </w:rPr>
              <w:t>Комерційна назва</w:t>
            </w:r>
          </w:p>
        </w:tc>
        <w:tc>
          <w:tcPr>
            <w:tcW w:w="5099" w:type="dxa"/>
            <w:tcBorders/>
          </w:tcPr>
          <w:p>
            <w:pPr>
              <w:pStyle w:val="Normal"/>
              <w:widowControl/>
              <w:spacing w:before="0" w:after="80"/>
              <w:jc w:val="left"/>
              <w:rPr>
                <w:rFonts w:cs=""/>
                <w:kern w:val="0"/>
                <w:szCs w:val="22"/>
                <w:lang w:val="en-US" w:eastAsia="en-US" w:bidi="ar-SA"/>
              </w:rPr>
            </w:pPr>
            <w:r>
              <w:rPr>
                <w:rFonts w:eastAsia="Arial" w:cs=""/>
                <w:b w:val="false"/>
                <w:kern w:val="0"/>
                <w:sz w:val="17"/>
                <w:szCs w:val="22"/>
                <w:lang w:val="en-US" w:eastAsia="en-US" w:bidi="ar-SA"/>
              </w:rPr>
              <w:t>Start Academy</w:t>
            </w:r>
          </w:p>
        </w:tc>
      </w:tr>
      <w:tr>
        <w:trPr/>
        <w:tc>
          <w:tcPr>
            <w:tcW w:w="5100" w:type="dxa"/>
            <w:tcBorders/>
            <w:shd w:fill="EEF6FB"/>
          </w:tcPr>
          <w:p>
            <w:pPr>
              <w:pStyle w:val="Normal"/>
              <w:widowControl/>
              <w:spacing w:before="0" w:after="80"/>
              <w:jc w:val="left"/>
              <w:rPr>
                <w:rFonts w:cs=""/>
                <w:kern w:val="0"/>
                <w:szCs w:val="22"/>
                <w:lang w:val="en-US" w:eastAsia="en-US" w:bidi="ar-SA"/>
              </w:rPr>
            </w:pPr>
            <w:r>
              <w:rPr>
                <w:rFonts w:eastAsia="Arial" w:cs=""/>
                <w:b/>
                <w:kern w:val="0"/>
                <w:sz w:val="17"/>
                <w:szCs w:val="22"/>
                <w:lang w:val="en-US" w:eastAsia="en-US" w:bidi="ar-SA"/>
              </w:rPr>
              <w:t>Email для договорів та звернень</w:t>
            </w:r>
          </w:p>
        </w:tc>
        <w:tc>
          <w:tcPr>
            <w:tcW w:w="5099" w:type="dxa"/>
            <w:tcBorders/>
          </w:tcPr>
          <w:p>
            <w:pPr>
              <w:pStyle w:val="Normal"/>
              <w:widowControl/>
              <w:spacing w:before="0" w:after="80"/>
              <w:jc w:val="left"/>
              <w:rPr>
                <w:rFonts w:cs=""/>
                <w:kern w:val="0"/>
                <w:szCs w:val="22"/>
                <w:lang w:val="en-US" w:eastAsia="en-US" w:bidi="ar-SA"/>
              </w:rPr>
            </w:pPr>
            <w:r>
              <w:rPr>
                <w:rFonts w:eastAsia="Arial" w:cs=""/>
                <w:b w:val="false"/>
                <w:kern w:val="0"/>
                <w:sz w:val="17"/>
                <w:szCs w:val="22"/>
                <w:lang w:val="en-US" w:eastAsia="en-US" w:bidi="ar-SA"/>
              </w:rPr>
              <w:t>startakademy@gmail.com</w:t>
            </w:r>
          </w:p>
        </w:tc>
      </w:tr>
      <w:tr>
        <w:trPr/>
        <w:tc>
          <w:tcPr>
            <w:tcW w:w="5100" w:type="dxa"/>
            <w:tcBorders/>
            <w:shd w:fill="EEF6FB"/>
          </w:tcPr>
          <w:p>
            <w:pPr>
              <w:pStyle w:val="Normal"/>
              <w:widowControl/>
              <w:spacing w:before="0" w:after="80"/>
              <w:jc w:val="left"/>
              <w:rPr>
                <w:rFonts w:ascii="Arial" w:hAnsi="Arial" w:eastAsia="Arial"/>
                <w:b/>
                <w:b/>
                <w:sz w:val="17"/>
              </w:rPr>
            </w:pPr>
            <w:r>
              <w:rPr>
                <w:rFonts w:cs=""/>
                <w:b/>
                <w:kern w:val="0"/>
                <w:sz w:val="17"/>
                <w:szCs w:val="22"/>
                <w:lang w:val="en-US" w:eastAsia="en-US" w:bidi="ar-SA"/>
              </w:rPr>
            </w:r>
          </w:p>
        </w:tc>
        <w:tc>
          <w:tcPr>
            <w:tcW w:w="5099" w:type="dxa"/>
            <w:tcBorders/>
          </w:tcPr>
          <w:p>
            <w:pPr>
              <w:pStyle w:val="Normal"/>
              <w:widowControl/>
              <w:spacing w:before="0" w:after="80"/>
              <w:jc w:val="left"/>
              <w:rPr>
                <w:rFonts w:ascii="Arial" w:hAnsi="Arial" w:eastAsia="Arial"/>
                <w:b w:val="false"/>
                <w:b w:val="false"/>
                <w:sz w:val="17"/>
              </w:rPr>
            </w:pPr>
            <w:r>
              <w:rPr>
                <w:rFonts w:cs=""/>
                <w:kern w:val="0"/>
                <w:sz w:val="17"/>
                <w:szCs w:val="22"/>
                <w:lang w:val="en-US" w:eastAsia="en-US" w:bidi="ar-SA"/>
              </w:rPr>
            </w:r>
          </w:p>
        </w:tc>
      </w:tr>
      <w:tr>
        <w:trPr/>
        <w:tc>
          <w:tcPr>
            <w:tcW w:w="5100" w:type="dxa"/>
            <w:tcBorders/>
            <w:shd w:fill="EEF6FB"/>
          </w:tcPr>
          <w:p>
            <w:pPr>
              <w:pStyle w:val="Normal"/>
              <w:widowControl/>
              <w:spacing w:before="0" w:after="80"/>
              <w:jc w:val="left"/>
              <w:rPr>
                <w:rFonts w:ascii="Arial" w:hAnsi="Arial" w:eastAsia="Arial"/>
                <w:b/>
                <w:b/>
                <w:sz w:val="17"/>
              </w:rPr>
            </w:pPr>
            <w:r>
              <w:rPr>
                <w:rFonts w:cs=""/>
                <w:b/>
                <w:kern w:val="0"/>
                <w:sz w:val="17"/>
                <w:szCs w:val="22"/>
                <w:lang w:val="en-US" w:eastAsia="en-US" w:bidi="ar-SA"/>
              </w:rPr>
            </w:r>
          </w:p>
        </w:tc>
        <w:tc>
          <w:tcPr>
            <w:tcW w:w="5099" w:type="dxa"/>
            <w:tcBorders/>
          </w:tcPr>
          <w:p>
            <w:pPr>
              <w:pStyle w:val="Normal"/>
              <w:widowControl/>
              <w:spacing w:before="0" w:after="80"/>
              <w:jc w:val="left"/>
              <w:rPr>
                <w:rFonts w:ascii="Arial" w:hAnsi="Arial" w:eastAsia="Arial"/>
                <w:b w:val="false"/>
                <w:b w:val="false"/>
                <w:sz w:val="17"/>
              </w:rPr>
            </w:pPr>
            <w:r>
              <w:rPr>
                <w:rFonts w:cs=""/>
                <w:kern w:val="0"/>
                <w:sz w:val="17"/>
                <w:szCs w:val="22"/>
                <w:lang w:val="en-US" w:eastAsia="en-US" w:bidi="ar-SA"/>
              </w:rPr>
            </w:r>
          </w:p>
        </w:tc>
      </w:tr>
    </w:tbl>
    <w:p>
      <w:pPr>
        <w:pStyle w:val="Normal"/>
        <w:spacing w:lineRule="auto" w:line="252" w:before="0" w:after="80"/>
        <w:rPr>
          <w:rFonts w:ascii="Arial" w:hAnsi="Arial" w:eastAsia="Arial"/>
          <w:sz w:val="19"/>
        </w:rPr>
      </w:pPr>
      <w:r>
        <w:rPr/>
      </w:r>
    </w:p>
    <w:sectPr>
      <w:headerReference w:type="default" r:id="rId2"/>
      <w:footerReference w:type="default" r:id="rId3"/>
      <w:headerReference w:type="first" r:id="rId9"/>
      <w:headerReference w:type="even" r:id="rId10"/>
      <w:footerReference w:type="first" r:id="rId11"/>
      <w:footerReference w:type="even" r:id="rId12"/>
      <w:type w:val="nextPage"/>
      <w:pgSz w:w="12240" w:h="15840"/>
      <w:pgMar w:left="1020" w:right="1020" w:gutter="0" w:header="720" w:top="964" w:footer="720" w:bottom="96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mbria">
    <w:charset w:val="cc"/>
    <w:family w:val="roman"/>
    <w:pitch w:val="variable"/>
  </w:font>
  <w:font w:name="Arial">
    <w:charset w:val="cc"/>
    <w:family w:val="roman"/>
    <w:pitch w:val="variable"/>
  </w:font>
  <w:font w:name="Calibri">
    <w:charset w:val="cc"/>
    <w:family w:val="roman"/>
    <w:pitch w:val="variable"/>
  </w:font>
  <w:font w:name="Courier">
    <w:altName w:val="Courier New"/>
    <w:charset w:val="cc"/>
    <w:family w:val="roman"/>
    <w:pitch w:val="variable"/>
  </w:font>
  <w:font w:name="Liberation Sans">
    <w:altName w:val="Arial"/>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jc w:val="center"/>
      <w:rPr/>
    </w:p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2"/>
      <w:jc w:val="right"/>
      <w:rPr/>
    </w:pPr>
    <w:r>
      <w:rPr>
        <w:color w:val="646464"/>
        <w:sz w:val="16"/>
      </w:rPr>
      <w:t>Start Academy · Публічний договір-оферта</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59" w:before="0" w:after="80"/>
      <w:jc w:val="left"/>
    </w:pPr>
    <w:rPr>
      <w:rFonts w:ascii="Arial" w:hAnsi="Arial" w:eastAsia="Arial" w:cs="" w:cstheme="minorBidi"/>
      <w:color w:val="auto"/>
      <w:kern w:val="0"/>
      <w:sz w:val="19"/>
      <w:szCs w:val="22"/>
      <w:lang w:val="en-US" w:eastAsia="en-US" w:bidi="ar-SA"/>
    </w:rPr>
  </w:style>
  <w:style w:type="paragraph" w:styleId="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val="365F91" w:themeColor="accent1" w:themeShade="bf"/>
      <w:sz w:val="24"/>
      <w:szCs w:val="28"/>
    </w:rPr>
  </w:style>
  <w:style w:type="paragraph" w:styleId="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val="4F81BD" w:themeColor="accent1"/>
      <w:sz w:val="21"/>
      <w:szCs w:val="26"/>
    </w:rPr>
  </w:style>
  <w:style w:type="paragraph" w:styleId="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val="4F81BD" w:themeColor="accent1"/>
    </w:rPr>
  </w:style>
  <w:style w:type="paragraph" w:styleId="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val="243F60" w:themeColor="accent1" w:themeShade="7f"/>
    </w:rPr>
  </w:style>
  <w:style w:type="paragraph" w:styleId="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val="243F60" w:themeColor="accent1" w:themeShade="7f"/>
    </w:rPr>
  </w:style>
  <w:style w:type="paragraph" w:styleId="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val="404040" w:themeColor="text1" w:themeTint="bf"/>
    </w:rPr>
  </w:style>
  <w:style w:type="paragraph" w:styleId="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val="4F81BD" w:themeColor="accent1"/>
      <w:sz w:val="20"/>
      <w:szCs w:val="20"/>
    </w:rPr>
  </w:style>
  <w:style w:type="paragraph" w:styleId="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ＭＳ ゴシック"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uiPriority w:val="9"/>
    <w:qFormat/>
    <w:rsid w:val="00fc693f"/>
    <w:rPr>
      <w:rFonts w:ascii="Calibri" w:hAnsi="Calibri" w:eastAsia="ＭＳ ゴシック"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uiPriority w:val="9"/>
    <w:qFormat/>
    <w:rsid w:val="00fc693f"/>
    <w:rPr>
      <w:rFonts w:ascii="Calibri" w:hAnsi="Calibri" w:eastAsia="ＭＳ ゴシック" w:cs="" w:asciiTheme="majorHAnsi" w:cstheme="majorBidi" w:eastAsiaTheme="majorEastAsia" w:hAnsiTheme="majorHAnsi"/>
      <w:b/>
      <w:bCs/>
      <w:color w:val="4F81BD" w:themeColor="accent1"/>
    </w:rPr>
  </w:style>
  <w:style w:type="character" w:styleId="TitleChar" w:customStyle="1">
    <w:name w:val="Title Char"/>
    <w:basedOn w:val="DefaultParagraphFont"/>
    <w:uiPriority w:val="10"/>
    <w:qFormat/>
    <w:rsid w:val="00fc693f"/>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character" w:styleId="SubtitleChar" w:customStyle="1">
    <w:name w:val="Subtitle Char"/>
    <w:basedOn w:val="DefaultParagraphFont"/>
    <w:uiPriority w:val="11"/>
    <w:qFormat/>
    <w:rsid w:val="00fc693f"/>
    <w:rPr>
      <w:rFonts w:ascii="Calibri" w:hAnsi="Calibri" w:eastAsia="ＭＳ ゴシック" w:cs="" w:asciiTheme="majorHAnsi" w:cstheme="majorBidi" w:eastAsiaTheme="majorEastAsia" w:hAnsiTheme="majorHAnsi"/>
      <w:i/>
      <w:iCs/>
      <w:color w:val="4F81BD" w:themeColor="accent1"/>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val="000000" w:themeColor="text1"/>
    </w:rPr>
  </w:style>
  <w:style w:type="character" w:styleId="Heading4Char" w:customStyle="1">
    <w:name w:val="Heading 4 Char"/>
    <w:basedOn w:val="DefaultParagraphFont"/>
    <w:uiPriority w:val="9"/>
    <w:semiHidden/>
    <w:qFormat/>
    <w:rsid w:val="00fc693f"/>
    <w:rPr>
      <w:rFonts w:ascii="Calibri" w:hAnsi="Calibri" w:eastAsia="ＭＳ ゴシック" w:cs="" w:asciiTheme="majorHAnsi" w:cstheme="majorBidi" w:eastAsiaTheme="majorEastAsia" w:hAnsiTheme="majorHAnsi"/>
      <w:b/>
      <w:bCs/>
      <w:i/>
      <w:iCs/>
      <w:color w:val="4F81BD" w:themeColor="accent1"/>
    </w:rPr>
  </w:style>
  <w:style w:type="character" w:styleId="Heading5Char" w:customStyle="1">
    <w:name w:val="Heading 5 Char"/>
    <w:basedOn w:val="DefaultParagraphFont"/>
    <w:uiPriority w:val="9"/>
    <w:semiHidden/>
    <w:qFormat/>
    <w:rsid w:val="00fc693f"/>
    <w:rPr>
      <w:rFonts w:ascii="Calibri" w:hAnsi="Calibri" w:eastAsia="ＭＳ ゴシック" w:cs="" w:asciiTheme="majorHAnsi" w:cstheme="majorBidi" w:eastAsiaTheme="majorEastAsia" w:hAnsiTheme="majorHAnsi"/>
      <w:color w:val="243F60" w:themeColor="accent1" w:themeShade="7f"/>
    </w:rPr>
  </w:style>
  <w:style w:type="character" w:styleId="Heading6Char" w:customStyle="1">
    <w:name w:val="Heading 6 Char"/>
    <w:basedOn w:val="DefaultParagraphFont"/>
    <w:uiPriority w:val="9"/>
    <w:semiHidden/>
    <w:qFormat/>
    <w:rsid w:val="00fc693f"/>
    <w:rPr>
      <w:rFonts w:ascii="Calibri" w:hAnsi="Calibri" w:eastAsia="ＭＳ ゴシック" w:cs="" w:asciiTheme="majorHAnsi" w:cstheme="majorBidi" w:eastAsiaTheme="majorEastAsia" w:hAnsiTheme="majorHAnsi"/>
      <w:i/>
      <w:iCs/>
      <w:color w:val="243F60" w:themeColor="accent1" w:themeShade="7f"/>
    </w:rPr>
  </w:style>
  <w:style w:type="character" w:styleId="Heading7Char" w:customStyle="1">
    <w:name w:val="Heading 7 Char"/>
    <w:basedOn w:val="DefaultParagraphFont"/>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rPr>
  </w:style>
  <w:style w:type="character" w:styleId="Heading8Char" w:customStyle="1">
    <w:name w:val="Heading 8 Char"/>
    <w:basedOn w:val="DefaultParagraphFont"/>
    <w:uiPriority w:val="9"/>
    <w:semiHidden/>
    <w:qFormat/>
    <w:rsid w:val="00fc693f"/>
    <w:rPr>
      <w:rFonts w:ascii="Calibri" w:hAnsi="Calibri" w:eastAsia="ＭＳ ゴシック" w:c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Style5">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Style6">
    <w:name w:val="Заголовок"/>
    <w:basedOn w:val="Normal"/>
    <w:next w:val="Style7"/>
    <w:qFormat/>
    <w:pPr>
      <w:keepNext w:val="true"/>
      <w:spacing w:before="240" w:after="120"/>
    </w:pPr>
    <w:rPr>
      <w:rFonts w:ascii="Liberation Sans" w:hAnsi="Liberation Sans" w:eastAsia="Microsoft YaHei" w:cs="Lucida Sans"/>
      <w:sz w:val="28"/>
      <w:szCs w:val="28"/>
    </w:rPr>
  </w:style>
  <w:style w:type="paragraph" w:styleId="Style7">
    <w:name w:val="Body Text"/>
    <w:basedOn w:val="Normal"/>
    <w:link w:val="BodyTextChar"/>
    <w:uiPriority w:val="99"/>
    <w:unhideWhenUsed/>
    <w:rsid w:val="00aa1d8d"/>
    <w:pPr>
      <w:spacing w:before="0" w:after="120"/>
    </w:pPr>
    <w:rPr/>
  </w:style>
  <w:style w:type="paragraph" w:styleId="Style8">
    <w:name w:val="List"/>
    <w:basedOn w:val="Normal"/>
    <w:uiPriority w:val="99"/>
    <w:unhideWhenUsed/>
    <w:rsid w:val="00aa1d8d"/>
    <w:pPr>
      <w:spacing w:before="0" w:after="80"/>
      <w:ind w:left="360" w:hanging="360"/>
      <w:contextualSpacing/>
    </w:pPr>
    <w:rPr/>
  </w:style>
  <w:style w:type="paragraph" w:styleId="Style9">
    <w:name w:val="Caption"/>
    <w:basedOn w:val="Normal"/>
    <w:qFormat/>
    <w:pPr>
      <w:suppressLineNumbers/>
      <w:spacing w:before="120" w:after="120"/>
    </w:pPr>
    <w:rPr>
      <w:rFonts w:cs="Lucida Sans"/>
      <w:i/>
      <w:iCs/>
      <w:sz w:val="24"/>
      <w:szCs w:val="24"/>
    </w:rPr>
  </w:style>
  <w:style w:type="paragraph" w:styleId="Style10">
    <w:name w:val="Покажчик"/>
    <w:basedOn w:val="Normal"/>
    <w:qFormat/>
    <w:pPr>
      <w:suppressLineNumbers/>
    </w:pPr>
    <w:rPr>
      <w:rFonts w:cs="Lucida Sans"/>
      <w:lang w:val="zxx" w:eastAsia="zxx" w:bidi="zxx"/>
    </w:rPr>
  </w:style>
  <w:style w:type="paragraph" w:styleId="Style11">
    <w:name w:val="Верхній і нижній колонтитули"/>
    <w:basedOn w:val="Normal"/>
    <w:qFormat/>
    <w:pPr/>
    <w:rPr/>
  </w:style>
  <w:style w:type="paragraph" w:styleId="Style12">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Style13">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Style14">
    <w:name w:val="Title"/>
    <w:basedOn w:val="Normal"/>
    <w:next w:val="Normal"/>
    <w:link w:val="TitleChar"/>
    <w:uiPriority w:val="10"/>
    <w:qFormat/>
    <w:rsid w:val="00fc693f"/>
    <w:pPr>
      <w:pBdr>
        <w:bottom w:val="single" w:sz="8" w:space="4" w:color="4F81BD"/>
      </w:pBdr>
      <w:spacing w:lineRule="auto" w:line="240" w:before="0" w:after="300"/>
      <w:contextualSpacing/>
    </w:pPr>
    <w:rPr>
      <w:rFonts w:ascii="Calibri" w:hAnsi="Calibri" w:eastAsia="ＭＳ ゴシック" w:cs="" w:asciiTheme="majorHAnsi" w:cstheme="majorBidi" w:eastAsiaTheme="majorEastAsia" w:hAnsiTheme="majorHAnsi"/>
      <w:b/>
      <w:color w:val="17365D" w:themeColor="text2" w:themeShade="bf"/>
      <w:spacing w:val="5"/>
      <w:kern w:val="2"/>
      <w:sz w:val="32"/>
      <w:szCs w:val="52"/>
    </w:rPr>
  </w:style>
  <w:style w:type="paragraph" w:styleId="Style15">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val="4F81BD" w:themeColor="accent1"/>
      <w:spacing w:val="15"/>
      <w:sz w:val="24"/>
      <w:szCs w:val="24"/>
    </w:rPr>
  </w:style>
  <w:style w:type="paragraph" w:styleId="ListParagraph">
    <w:name w:val="List Paragraph"/>
    <w:basedOn w:val="Normal"/>
    <w:uiPriority w:val="34"/>
    <w:qFormat/>
    <w:rsid w:val="00fc693f"/>
    <w:pPr>
      <w:spacing w:before="0" w:after="80"/>
      <w:ind w:left="720" w:hanging="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21">
    <w:name w:val="List Bullet 3"/>
    <w:basedOn w:val="Normal"/>
    <w:uiPriority w:val="99"/>
    <w:unhideWhenUsed/>
    <w:rsid w:val="00326f90"/>
    <w:pPr>
      <w:spacing w:before="0" w:after="80"/>
      <w:ind w:left="720" w:hanging="360"/>
      <w:contextualSpacing/>
    </w:pPr>
    <w:rPr/>
  </w:style>
  <w:style w:type="paragraph" w:styleId="31">
    <w:name w:val="List Bullet 4"/>
    <w:basedOn w:val="Normal"/>
    <w:uiPriority w:val="99"/>
    <w:unhideWhenUsed/>
    <w:rsid w:val="00326f90"/>
    <w:pPr>
      <w:spacing w:before="0" w:after="80"/>
      <w:ind w:left="1080" w:hanging="360"/>
      <w:contextualSpacing/>
    </w:pPr>
    <w:rPr/>
  </w:style>
  <w:style w:type="paragraph" w:styleId="ListBullet">
    <w:name w:val="List Bullet"/>
    <w:basedOn w:val="Normal"/>
    <w:uiPriority w:val="99"/>
    <w:unhideWhenUsed/>
    <w:qFormat/>
    <w:rsid w:val="00326f90"/>
    <w:pPr>
      <w:numPr>
        <w:ilvl w:val="0"/>
        <w:numId w:val="1"/>
      </w:numPr>
      <w:spacing w:before="0" w:after="80"/>
      <w:contextualSpacing/>
    </w:pPr>
    <w:rPr/>
  </w:style>
  <w:style w:type="paragraph" w:styleId="ListBullet2">
    <w:name w:val="List Bullet 2"/>
    <w:basedOn w:val="Normal"/>
    <w:uiPriority w:val="99"/>
    <w:unhideWhenUsed/>
    <w:qFormat/>
    <w:rsid w:val="00326f90"/>
    <w:pPr>
      <w:numPr>
        <w:ilvl w:val="0"/>
        <w:numId w:val="2"/>
      </w:numPr>
      <w:spacing w:before="0" w:after="80"/>
      <w:contextualSpacing/>
    </w:pPr>
    <w:rPr/>
  </w:style>
  <w:style w:type="paragraph" w:styleId="ListBullet3">
    <w:name w:val="List Bullet 3"/>
    <w:basedOn w:val="Normal"/>
    <w:uiPriority w:val="99"/>
    <w:unhideWhenUsed/>
    <w:qFormat/>
    <w:rsid w:val="00326f90"/>
    <w:pPr>
      <w:numPr>
        <w:ilvl w:val="0"/>
        <w:numId w:val="3"/>
      </w:numPr>
      <w:spacing w:before="0" w:after="80"/>
      <w:contextualSpacing/>
    </w:pPr>
    <w:rPr/>
  </w:style>
  <w:style w:type="paragraph" w:styleId="ListNumber">
    <w:name w:val="List Number"/>
    <w:basedOn w:val="Normal"/>
    <w:uiPriority w:val="99"/>
    <w:unhideWhenUsed/>
    <w:qFormat/>
    <w:rsid w:val="00326f90"/>
    <w:pPr>
      <w:numPr>
        <w:ilvl w:val="0"/>
        <w:numId w:val="4"/>
      </w:numPr>
      <w:spacing w:before="0" w:after="80"/>
      <w:contextualSpacing/>
    </w:pPr>
    <w:rPr/>
  </w:style>
  <w:style w:type="paragraph" w:styleId="ListNumber2">
    <w:name w:val="List Number 2"/>
    <w:basedOn w:val="Normal"/>
    <w:uiPriority w:val="99"/>
    <w:unhideWhenUsed/>
    <w:qFormat/>
    <w:rsid w:val="0029639d"/>
    <w:pPr>
      <w:numPr>
        <w:ilvl w:val="0"/>
        <w:numId w:val="5"/>
      </w:numPr>
      <w:spacing w:before="0" w:after="80"/>
      <w:contextualSpacing/>
    </w:pPr>
    <w:rPr/>
  </w:style>
  <w:style w:type="paragraph" w:styleId="ListNumber3">
    <w:name w:val="List Number 3"/>
    <w:basedOn w:val="Normal"/>
    <w:uiPriority w:val="99"/>
    <w:unhideWhenUsed/>
    <w:qFormat/>
    <w:rsid w:val="0029639d"/>
    <w:pPr>
      <w:numPr>
        <w:ilvl w:val="0"/>
        <w:numId w:val="6"/>
      </w:numPr>
      <w:spacing w:before="0" w:after="80"/>
      <w:contextualSpacing/>
    </w:pPr>
    <w:rPr/>
  </w:style>
  <w:style w:type="paragraph" w:styleId="ListContinue">
    <w:name w:val="List Continue"/>
    <w:basedOn w:val="Normal"/>
    <w:uiPriority w:val="99"/>
    <w:unhideWhenUsed/>
    <w:qFormat/>
    <w:rsid w:val="0029639d"/>
    <w:pPr>
      <w:spacing w:before="0" w:after="120"/>
      <w:ind w:left="360" w:hanging="0"/>
      <w:contextualSpacing/>
    </w:pPr>
    <w:rPr/>
  </w:style>
  <w:style w:type="paragraph" w:styleId="ListContinue2">
    <w:name w:val="List Continue 2"/>
    <w:basedOn w:val="Normal"/>
    <w:uiPriority w:val="99"/>
    <w:unhideWhenUsed/>
    <w:qFormat/>
    <w:rsid w:val="0029639d"/>
    <w:pPr>
      <w:spacing w:before="0" w:after="120"/>
      <w:ind w:left="720" w:hanging="0"/>
      <w:contextualSpacing/>
    </w:pPr>
    <w:rPr/>
  </w:style>
  <w:style w:type="paragraph" w:styleId="ListContinue3">
    <w:name w:val="List Continue 3"/>
    <w:basedOn w:val="Normal"/>
    <w:uiPriority w:val="99"/>
    <w:unhideWhenUsed/>
    <w:qFormat/>
    <w:rsid w:val="0029639d"/>
    <w:pPr>
      <w:spacing w:before="0" w:after="120"/>
      <w:ind w:left="1080" w:hanging="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val="000000" w:themeColor="text1"/>
    </w:rPr>
  </w:style>
  <w:style w:type="paragraph" w:styleId="Caption">
    <w:name w:val="caption"/>
    <w:basedOn w:val="Normal"/>
    <w:next w:val="Normal"/>
    <w:uiPriority w:val="35"/>
    <w:semiHidden/>
    <w:unhideWhenUsed/>
    <w:qFormat/>
    <w:rsid w:val="00fc693f"/>
    <w:pPr>
      <w:spacing w:lineRule="auto" w:line="240"/>
    </w:pPr>
    <w:rPr>
      <w:b/>
      <w:bCs/>
      <w:color w:val="4F81BD" w:themeColor="accent1"/>
      <w:sz w:val="18"/>
      <w:szCs w:val="18"/>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hanging="0"/>
    </w:pPr>
    <w:rPr>
      <w:b/>
      <w:bCs/>
      <w:i/>
      <w:iCs/>
      <w:color w:val="4F81BD" w:themeColor="accent1"/>
    </w:rPr>
  </w:style>
  <w:style w:type="paragraph" w:styleId="Style16">
    <w:name w:val="Index Heading"/>
    <w:basedOn w:val="Style6"/>
    <w:pPr/>
    <w:rPr/>
  </w:style>
  <w:style w:type="paragraph" w:styleId="Style17">
    <w:name w:val="TOC Heading"/>
    <w:basedOn w:val="1"/>
    <w:next w:val="Normal"/>
    <w:uiPriority w:val="39"/>
    <w:semiHidden/>
    <w:unhideWhenUsed/>
    <w:qFormat/>
    <w:rsid w:val="00fc693f"/>
    <w:pPr>
      <w:outlineLvl w:val="9"/>
    </w:pPr>
    <w:rPr/>
  </w:style>
  <w:style w:type="paragraph" w:styleId="Style18">
    <w:name w:val="Вміст таблиці"/>
    <w:basedOn w:val="Normal"/>
    <w:qFormat/>
    <w:pPr>
      <w:widowControl w:val="false"/>
      <w:suppressLineNumbers/>
    </w:pPr>
    <w:rPr/>
  </w:style>
  <w:style w:type="paragraph" w:styleId="Style19">
    <w:name w:val="Заголовок таблиці"/>
    <w:basedOn w:val="Style18"/>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Application>LibreOffice/7.4.2.3$Windows_X86_64 LibreOffice_project/382eef1f22670f7f4118c8c2dd222ec7ad009daf</Application>
  <AppVersion>15.0000</AppVersion>
  <Pages>5</Pages>
  <Words>2126</Words>
  <Characters>14671</Characters>
  <CharactersWithSpaces>16679</CharactersWithSpaces>
  <Paragraphs>127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ru-RU</dc:language>
  <cp:lastModifiedBy/>
  <dcterms:modified xsi:type="dcterms:W3CDTF">2026-06-22T12:23:52Z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